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AAE" w14:textId="77777777" w:rsidR="001061AD" w:rsidRPr="00EC7DD7" w:rsidRDefault="00407E5D" w:rsidP="002D1B42">
      <w:pPr>
        <w:pStyle w:val="Title"/>
        <w:spacing w:before="100" w:beforeAutospacing="1"/>
        <w:rPr>
          <w:rFonts w:ascii="Cornerstone" w:hAnsi="Cornerstone"/>
        </w:rPr>
      </w:pPr>
      <w:r w:rsidRPr="00EC7DD7">
        <w:rPr>
          <w:rFonts w:ascii="Cornerstone" w:hAnsi="Cornerstone"/>
        </w:rPr>
        <w:t>ANNUAL PROGRAM REPORT</w:t>
      </w:r>
    </w:p>
    <w:p w14:paraId="7873D15F" w14:textId="79AD9D5C" w:rsidR="003A6171" w:rsidRDefault="009F49DE" w:rsidP="00223A42">
      <w:pPr>
        <w:pStyle w:val="Subtitle"/>
      </w:pPr>
      <w:r>
        <w:t>September 1</w:t>
      </w:r>
      <w:r w:rsidR="00583B04">
        <w:t>, 2022</w:t>
      </w:r>
    </w:p>
    <w:p w14:paraId="0E341364" w14:textId="77777777" w:rsidR="00E9386D" w:rsidRDefault="00E9386D" w:rsidP="00E9386D">
      <w:pPr>
        <w:jc w:val="center"/>
      </w:pPr>
    </w:p>
    <w:p w14:paraId="7ED889C3" w14:textId="77777777" w:rsidR="005A5FD1" w:rsidRDefault="005A5FD1">
      <w:r>
        <w:t>Program:</w:t>
      </w:r>
      <w:r>
        <w:tab/>
      </w:r>
      <w:r>
        <w:tab/>
        <w:t>North Central Missouri College/Green Hills Head Start</w:t>
      </w:r>
    </w:p>
    <w:p w14:paraId="542A0502" w14:textId="77777777" w:rsidR="004E0D43" w:rsidRDefault="004E0D43"/>
    <w:p w14:paraId="6B0F11A3" w14:textId="77777777" w:rsidR="004E0D43" w:rsidRDefault="004E0D43" w:rsidP="004E0D43">
      <w:r>
        <w:t>Grant Year:</w:t>
      </w:r>
      <w:r>
        <w:tab/>
      </w:r>
      <w:r>
        <w:tab/>
        <w:t>February 1 – January 31</w:t>
      </w:r>
    </w:p>
    <w:p w14:paraId="3C249A58" w14:textId="77777777" w:rsidR="004E0D43" w:rsidRDefault="004E0D43"/>
    <w:p w14:paraId="091BF928" w14:textId="354E1115" w:rsidR="008F3904" w:rsidRDefault="00C22B4E">
      <w:r>
        <w:t xml:space="preserve">Total </w:t>
      </w:r>
      <w:r w:rsidR="00BA7869">
        <w:t>Student</w:t>
      </w:r>
      <w:r w:rsidR="008F3904">
        <w:t xml:space="preserve"> Enrollment per </w:t>
      </w:r>
      <w:r w:rsidR="005A5FD1">
        <w:t>Program Options:</w:t>
      </w:r>
      <w:r w:rsidR="005A5FD1">
        <w:tab/>
      </w:r>
    </w:p>
    <w:p w14:paraId="6341ECD2" w14:textId="45EE447E" w:rsidR="009325A2" w:rsidRDefault="009325A2" w:rsidP="008F3904">
      <w:pPr>
        <w:ind w:left="1440" w:firstLine="720"/>
      </w:pPr>
      <w:r>
        <w:t>2</w:t>
      </w:r>
      <w:r w:rsidR="004F6B57">
        <w:t>02</w:t>
      </w:r>
      <w:r w:rsidR="00583B04">
        <w:t>1-2022</w:t>
      </w:r>
      <w:r>
        <w:t xml:space="preserve"> School Year </w:t>
      </w:r>
      <w:r w:rsidR="00BA6781">
        <w:t>(End of Program Year)</w:t>
      </w:r>
    </w:p>
    <w:p w14:paraId="73271FBC" w14:textId="3EA8142A" w:rsidR="005A5FD1" w:rsidRPr="00613C57" w:rsidRDefault="006B1C44" w:rsidP="009325A2">
      <w:pPr>
        <w:ind w:left="1440" w:firstLine="720"/>
      </w:pPr>
      <w:r>
        <w:t xml:space="preserve">Preschool </w:t>
      </w:r>
      <w:r w:rsidR="005A5FD1">
        <w:t>Center Base:  Full day/Part year (</w:t>
      </w:r>
      <w:r w:rsidR="00F61D78">
        <w:t>8</w:t>
      </w:r>
      <w:r w:rsidR="005A5FD1">
        <w:t xml:space="preserve"> classrooms)</w:t>
      </w:r>
      <w:r w:rsidR="00EC7DD7">
        <w:t>:</w:t>
      </w:r>
      <w:r w:rsidR="00EC7DD7">
        <w:tab/>
      </w:r>
      <w:r w:rsidR="00FF7839" w:rsidRPr="00613C57">
        <w:t>155</w:t>
      </w:r>
      <w:r w:rsidR="00223A42" w:rsidRPr="00613C57">
        <w:t xml:space="preserve"> </w:t>
      </w:r>
      <w:r w:rsidR="007810F3" w:rsidRPr="00613C57">
        <w:t>children</w:t>
      </w:r>
    </w:p>
    <w:p w14:paraId="3EF95B45" w14:textId="65912B69" w:rsidR="00970586" w:rsidRPr="00613C57" w:rsidRDefault="005A5FD1">
      <w:r w:rsidRPr="00613C57">
        <w:tab/>
      </w:r>
      <w:r w:rsidRPr="00613C57">
        <w:tab/>
      </w:r>
      <w:r w:rsidRPr="00613C57">
        <w:tab/>
      </w:r>
      <w:r w:rsidR="006B1C44" w:rsidRPr="00613C57">
        <w:t xml:space="preserve">Preschool </w:t>
      </w:r>
      <w:r w:rsidRPr="00613C57">
        <w:t xml:space="preserve">Home Base:  </w:t>
      </w:r>
      <w:r w:rsidR="006B1C44" w:rsidRPr="00613C57">
        <w:t>9</w:t>
      </w:r>
      <w:r w:rsidR="007810F3" w:rsidRPr="00613C57">
        <w:t xml:space="preserve"> Counties:</w:t>
      </w:r>
      <w:r w:rsidR="007810F3" w:rsidRPr="00613C57">
        <w:tab/>
      </w:r>
      <w:r w:rsidR="003D2F20" w:rsidRPr="00613C57">
        <w:tab/>
      </w:r>
      <w:r w:rsidR="003D2F20" w:rsidRPr="00613C57">
        <w:tab/>
      </w:r>
      <w:r w:rsidR="008E4F65" w:rsidRPr="00613C57">
        <w:tab/>
        <w:t xml:space="preserve"> </w:t>
      </w:r>
      <w:r w:rsidR="005F348D" w:rsidRPr="00613C57">
        <w:t>57</w:t>
      </w:r>
      <w:r w:rsidR="007810F3" w:rsidRPr="00613C57">
        <w:t xml:space="preserve"> children</w:t>
      </w:r>
    </w:p>
    <w:p w14:paraId="7F2F3629" w14:textId="6E2641CC" w:rsidR="006B1C44" w:rsidRPr="00613C57" w:rsidRDefault="006B1C44">
      <w:r w:rsidRPr="00613C57">
        <w:tab/>
      </w:r>
      <w:r w:rsidRPr="00613C57">
        <w:tab/>
      </w:r>
      <w:r w:rsidRPr="00613C57">
        <w:tab/>
        <w:t xml:space="preserve">Early Head Start (0-3 years) Home Base: </w:t>
      </w:r>
      <w:r w:rsidR="00EF7DD0" w:rsidRPr="00613C57">
        <w:t>7</w:t>
      </w:r>
      <w:r w:rsidRPr="00613C57">
        <w:t xml:space="preserve"> Counties:</w:t>
      </w:r>
      <w:r w:rsidR="008E4F65" w:rsidRPr="00613C57">
        <w:tab/>
        <w:t xml:space="preserve"> 3</w:t>
      </w:r>
      <w:r w:rsidR="006B1888" w:rsidRPr="00613C57">
        <w:t>9</w:t>
      </w:r>
      <w:r w:rsidRPr="00613C57">
        <w:t xml:space="preserve"> </w:t>
      </w:r>
      <w:proofErr w:type="gramStart"/>
      <w:r w:rsidRPr="00613C57">
        <w:t>children</w:t>
      </w:r>
      <w:proofErr w:type="gramEnd"/>
    </w:p>
    <w:p w14:paraId="513DC9C4" w14:textId="77777777" w:rsidR="009325A2" w:rsidRPr="00613C57" w:rsidRDefault="009325A2" w:rsidP="009325A2"/>
    <w:p w14:paraId="4A723C3E" w14:textId="77777777" w:rsidR="002E7AB6" w:rsidRDefault="009325A2" w:rsidP="009325A2">
      <w:pPr>
        <w:jc w:val="center"/>
      </w:pPr>
      <w:r>
        <w:rPr>
          <w:noProof/>
        </w:rPr>
        <w:drawing>
          <wp:inline distT="0" distB="0" distL="0" distR="0" wp14:anchorId="3A1230D9" wp14:editId="11D68203">
            <wp:extent cx="4914900" cy="22860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7E00C6" w14:textId="77777777" w:rsidR="002E7AB6" w:rsidRDefault="002E7AB6"/>
    <w:p w14:paraId="4BF07522" w14:textId="77777777" w:rsidR="002E7AB6" w:rsidRDefault="002E7AB6"/>
    <w:p w14:paraId="62CA84F2" w14:textId="77777777" w:rsidR="00B809D8" w:rsidRDefault="00B809D8"/>
    <w:p w14:paraId="0E5B31D3" w14:textId="05C994C6" w:rsidR="007810F3" w:rsidRDefault="007810F3">
      <w:r>
        <w:t>Funded Enrollment:</w:t>
      </w:r>
      <w:r>
        <w:tab/>
      </w:r>
      <w:r w:rsidR="004F6B57">
        <w:t>188</w:t>
      </w:r>
      <w:r w:rsidR="006B1C44">
        <w:t xml:space="preserve"> Preschool</w:t>
      </w:r>
      <w:r>
        <w:t xml:space="preserve"> </w:t>
      </w:r>
      <w:r w:rsidR="006B1C44">
        <w:t xml:space="preserve">Head Start </w:t>
      </w:r>
      <w:proofErr w:type="gramStart"/>
      <w:r>
        <w:t>children</w:t>
      </w:r>
      <w:proofErr w:type="gramEnd"/>
    </w:p>
    <w:p w14:paraId="5B93336F" w14:textId="785F978A" w:rsidR="006B1C44" w:rsidRDefault="006B1C44">
      <w:r>
        <w:tab/>
      </w:r>
      <w:r>
        <w:tab/>
      </w:r>
      <w:r>
        <w:tab/>
        <w:t xml:space="preserve">  </w:t>
      </w:r>
      <w:r w:rsidR="004F6B57">
        <w:t>39</w:t>
      </w:r>
      <w:r>
        <w:t xml:space="preserve"> Early Head Start </w:t>
      </w:r>
      <w:proofErr w:type="gramStart"/>
      <w:r>
        <w:t>children</w:t>
      </w:r>
      <w:proofErr w:type="gramEnd"/>
    </w:p>
    <w:p w14:paraId="3929039D" w14:textId="77777777" w:rsidR="0061397E" w:rsidRDefault="0061397E"/>
    <w:p w14:paraId="757C7327" w14:textId="6A97A763" w:rsidR="00B809D8" w:rsidRDefault="00B809D8" w:rsidP="00B809D8">
      <w:r>
        <w:t>Service Area:</w:t>
      </w:r>
      <w:r>
        <w:tab/>
      </w:r>
      <w:r>
        <w:tab/>
        <w:t xml:space="preserve">Caldwell, Daviess, Grundy, Harrison, Linn, Livingston, Mercer, Putnam, and </w:t>
      </w:r>
      <w:r>
        <w:tab/>
      </w:r>
      <w:r>
        <w:tab/>
      </w:r>
      <w:r>
        <w:tab/>
        <w:t>Sullivan counties</w:t>
      </w:r>
    </w:p>
    <w:p w14:paraId="56FD82F7" w14:textId="77777777" w:rsidR="00EC177D" w:rsidRDefault="00EC177D" w:rsidP="00B809D8"/>
    <w:p w14:paraId="425A8632" w14:textId="56961D30" w:rsidR="00B809D8" w:rsidRPr="00B46CF3" w:rsidRDefault="00B91C2D">
      <w:pPr>
        <w:rPr>
          <w:b/>
          <w:bCs/>
        </w:rPr>
      </w:pPr>
      <w:r w:rsidRPr="00B46CF3">
        <w:rPr>
          <w:b/>
          <w:bCs/>
        </w:rPr>
        <w:t>Previous Year FY</w:t>
      </w:r>
      <w:r w:rsidR="006D1A7F" w:rsidRPr="00B46CF3">
        <w:rPr>
          <w:b/>
          <w:bCs/>
        </w:rPr>
        <w:t xml:space="preserve"> #</w:t>
      </w:r>
      <w:r w:rsidRPr="00B46CF3">
        <w:rPr>
          <w:b/>
          <w:bCs/>
        </w:rPr>
        <w:t>50</w:t>
      </w:r>
      <w:r w:rsidR="006D1A7F" w:rsidRPr="00B46CF3">
        <w:rPr>
          <w:b/>
          <w:bCs/>
        </w:rPr>
        <w:t>-</w:t>
      </w:r>
      <w:r w:rsidR="00EC177D" w:rsidRPr="00B46CF3">
        <w:rPr>
          <w:b/>
          <w:bCs/>
        </w:rPr>
        <w:t>2:</w:t>
      </w:r>
    </w:p>
    <w:p w14:paraId="18009D1A" w14:textId="77777777" w:rsidR="00EC177D" w:rsidRPr="00B46CF3" w:rsidRDefault="00EC177D">
      <w:pPr>
        <w:rPr>
          <w:b/>
          <w:bCs/>
        </w:rPr>
      </w:pPr>
    </w:p>
    <w:p w14:paraId="25DAFCB7" w14:textId="28992205" w:rsidR="0080278F" w:rsidRPr="00B46CF3" w:rsidRDefault="0061397E">
      <w:r w:rsidRPr="00B46CF3">
        <w:t>Funding Sources:</w:t>
      </w:r>
      <w:r w:rsidRPr="00B46CF3">
        <w:tab/>
      </w:r>
      <w:r w:rsidR="0009257D" w:rsidRPr="00B46CF3">
        <w:t>$</w:t>
      </w:r>
      <w:r w:rsidR="004F6B57" w:rsidRPr="00B46CF3">
        <w:t xml:space="preserve">     2,458,677</w:t>
      </w:r>
      <w:r w:rsidR="0009257D" w:rsidRPr="00B46CF3">
        <w:tab/>
      </w:r>
      <w:r w:rsidR="0027200C" w:rsidRPr="00B46CF3">
        <w:tab/>
      </w:r>
      <w:r w:rsidR="0009257D" w:rsidRPr="00B46CF3">
        <w:t>ACF/Office of Head Start</w:t>
      </w:r>
      <w:r w:rsidR="003A6171" w:rsidRPr="00B46CF3">
        <w:t xml:space="preserve"> (</w:t>
      </w:r>
      <w:r w:rsidR="00825E46" w:rsidRPr="00B46CF3">
        <w:t>2</w:t>
      </w:r>
      <w:r w:rsidR="004F6B57" w:rsidRPr="00B46CF3">
        <w:t>02</w:t>
      </w:r>
      <w:r w:rsidR="00200C36" w:rsidRPr="00B46CF3">
        <w:t>1</w:t>
      </w:r>
      <w:r w:rsidR="00141C8D" w:rsidRPr="00B46CF3">
        <w:t>-202</w:t>
      </w:r>
      <w:r w:rsidR="00200C36" w:rsidRPr="00B46CF3">
        <w:t>2</w:t>
      </w:r>
      <w:r w:rsidR="005F6C95" w:rsidRPr="00B46CF3">
        <w:t>)</w:t>
      </w:r>
    </w:p>
    <w:p w14:paraId="5D1DB612" w14:textId="2B5C40D3" w:rsidR="0009257D" w:rsidRPr="00B46CF3" w:rsidRDefault="0080278F">
      <w:r w:rsidRPr="00B46CF3">
        <w:tab/>
      </w:r>
      <w:r w:rsidRPr="00B46CF3">
        <w:tab/>
      </w:r>
      <w:r w:rsidRPr="00B46CF3">
        <w:tab/>
      </w:r>
      <w:r w:rsidR="00DF22EA" w:rsidRPr="00B46CF3">
        <w:t>$</w:t>
      </w:r>
      <w:r w:rsidR="00E9386D" w:rsidRPr="00B46CF3">
        <w:t xml:space="preserve">   </w:t>
      </w:r>
      <w:r w:rsidR="00455170" w:rsidRPr="00B46CF3">
        <w:t xml:space="preserve">  </w:t>
      </w:r>
      <w:r w:rsidR="00063183" w:rsidRPr="00B46CF3">
        <w:t xml:space="preserve">     </w:t>
      </w:r>
      <w:r w:rsidR="00455170" w:rsidRPr="00B46CF3">
        <w:t>8</w:t>
      </w:r>
      <w:r w:rsidR="00491791" w:rsidRPr="00B46CF3">
        <w:t>7,</w:t>
      </w:r>
      <w:r w:rsidR="00103FBF" w:rsidRPr="00B46CF3">
        <w:t>930</w:t>
      </w:r>
      <w:r w:rsidR="00455170" w:rsidRPr="00B46CF3">
        <w:tab/>
      </w:r>
      <w:r w:rsidR="00455170" w:rsidRPr="00B46CF3">
        <w:tab/>
      </w:r>
      <w:r w:rsidR="0009257D" w:rsidRPr="00B46CF3">
        <w:t>USDA/Child/Adult Care Food Program</w:t>
      </w:r>
      <w:r w:rsidR="00DF22EA" w:rsidRPr="00B46CF3">
        <w:t xml:space="preserve"> (</w:t>
      </w:r>
      <w:r w:rsidR="00223A42" w:rsidRPr="00B46CF3">
        <w:t>20</w:t>
      </w:r>
      <w:r w:rsidR="004F6B57" w:rsidRPr="00B46CF3">
        <w:t>2</w:t>
      </w:r>
      <w:r w:rsidR="00200C36" w:rsidRPr="00B46CF3">
        <w:t>1</w:t>
      </w:r>
      <w:r w:rsidR="004F6B57" w:rsidRPr="00B46CF3">
        <w:t>-202</w:t>
      </w:r>
      <w:r w:rsidR="00200C36" w:rsidRPr="00B46CF3">
        <w:t>2</w:t>
      </w:r>
      <w:r w:rsidR="00DF22EA" w:rsidRPr="00B46CF3">
        <w:t>)</w:t>
      </w:r>
    </w:p>
    <w:p w14:paraId="57DEB637" w14:textId="6F07AA78" w:rsidR="0080278F" w:rsidRPr="00B46CF3" w:rsidRDefault="0080278F">
      <w:r w:rsidRPr="00B46CF3">
        <w:tab/>
      </w:r>
      <w:r w:rsidRPr="00B46CF3">
        <w:tab/>
      </w:r>
      <w:r w:rsidRPr="00B46CF3">
        <w:tab/>
        <w:t>$</w:t>
      </w:r>
      <w:r w:rsidR="00223A42" w:rsidRPr="00B46CF3">
        <w:t xml:space="preserve">    </w:t>
      </w:r>
      <w:r w:rsidRPr="00B46CF3">
        <w:t xml:space="preserve"> </w:t>
      </w:r>
      <w:r w:rsidR="0027200C" w:rsidRPr="00B46CF3">
        <w:t xml:space="preserve">  </w:t>
      </w:r>
      <w:r w:rsidR="00063183" w:rsidRPr="00B46CF3">
        <w:t xml:space="preserve">     9,</w:t>
      </w:r>
      <w:r w:rsidR="00103FBF" w:rsidRPr="00B46CF3">
        <w:t>487</w:t>
      </w:r>
      <w:r w:rsidR="00BC6FE8" w:rsidRPr="00B46CF3">
        <w:t xml:space="preserve"> </w:t>
      </w:r>
      <w:r w:rsidR="0027200C" w:rsidRPr="00B46CF3">
        <w:tab/>
      </w:r>
      <w:r w:rsidR="004D004A" w:rsidRPr="00B46CF3">
        <w:t>Donations</w:t>
      </w:r>
      <w:r w:rsidRPr="00B46CF3">
        <w:t xml:space="preserve"> (20</w:t>
      </w:r>
      <w:r w:rsidR="004F6B57" w:rsidRPr="00B46CF3">
        <w:t>2</w:t>
      </w:r>
      <w:r w:rsidR="00200C36" w:rsidRPr="00B46CF3">
        <w:t>1</w:t>
      </w:r>
      <w:r w:rsidR="004F6B57" w:rsidRPr="00B46CF3">
        <w:t>-20</w:t>
      </w:r>
      <w:r w:rsidR="00200C36" w:rsidRPr="00B46CF3">
        <w:t>2</w:t>
      </w:r>
      <w:r w:rsidR="00591DFB" w:rsidRPr="00B46CF3">
        <w:t>2</w:t>
      </w:r>
      <w:r w:rsidRPr="00B46CF3">
        <w:t>)</w:t>
      </w:r>
    </w:p>
    <w:p w14:paraId="1601487B" w14:textId="1E847ABA" w:rsidR="004E0D43" w:rsidRPr="00B46CF3" w:rsidRDefault="0009257D" w:rsidP="004C16D4">
      <w:pPr>
        <w:ind w:left="1440" w:firstLine="720"/>
      </w:pPr>
      <w:r w:rsidRPr="00B46CF3">
        <w:t xml:space="preserve">$   </w:t>
      </w:r>
      <w:r w:rsidR="00E901B6" w:rsidRPr="00B46CF3">
        <w:t xml:space="preserve">     </w:t>
      </w:r>
      <w:r w:rsidR="00D331CF" w:rsidRPr="00B46CF3">
        <w:t>346,301</w:t>
      </w:r>
      <w:r w:rsidR="00D71AE8" w:rsidRPr="00B46CF3">
        <w:tab/>
      </w:r>
      <w:r w:rsidR="00E901B6" w:rsidRPr="00B46CF3">
        <w:tab/>
      </w:r>
      <w:r w:rsidRPr="00B46CF3">
        <w:t>Non-federal/Local Matching Resources</w:t>
      </w:r>
      <w:r w:rsidR="003A6171" w:rsidRPr="00B46CF3">
        <w:t xml:space="preserve"> </w:t>
      </w:r>
      <w:r w:rsidR="00D71AE8" w:rsidRPr="00B46CF3">
        <w:t xml:space="preserve">w/ Waiver </w:t>
      </w:r>
    </w:p>
    <w:p w14:paraId="245FAF2C" w14:textId="77777777" w:rsidR="009979A6" w:rsidRPr="00B46CF3" w:rsidRDefault="009979A6" w:rsidP="00B56DC7">
      <w:pPr>
        <w:jc w:val="center"/>
      </w:pPr>
    </w:p>
    <w:p w14:paraId="05AED789" w14:textId="48FB9148" w:rsidR="003A6171" w:rsidRPr="00B46CF3" w:rsidRDefault="00DA5A07">
      <w:r w:rsidRPr="00B46CF3">
        <w:t>Funding Expended</w:t>
      </w:r>
      <w:r w:rsidR="003A6171" w:rsidRPr="00B46CF3">
        <w:t>:</w:t>
      </w:r>
      <w:r w:rsidR="003A6171" w:rsidRPr="00B46CF3">
        <w:tab/>
      </w:r>
      <w:r w:rsidR="00A45F44" w:rsidRPr="00B46CF3">
        <w:t>FY202</w:t>
      </w:r>
      <w:r w:rsidR="00AE121D" w:rsidRPr="00B46CF3">
        <w:t>1</w:t>
      </w:r>
      <w:r w:rsidR="00A45F44" w:rsidRPr="00B46CF3">
        <w:t xml:space="preserve"> </w:t>
      </w:r>
      <w:r w:rsidR="00324083" w:rsidRPr="00B46CF3">
        <w:t>-Program Year #</w:t>
      </w:r>
      <w:r w:rsidR="00547EA3" w:rsidRPr="00B46CF3">
        <w:t>5</w:t>
      </w:r>
      <w:r w:rsidR="00831E98" w:rsidRPr="00B46CF3">
        <w:t>0</w:t>
      </w:r>
      <w:r w:rsidR="006F58B0" w:rsidRPr="00B46CF3">
        <w:t>-</w:t>
      </w:r>
      <w:r w:rsidR="00831E98" w:rsidRPr="00B46CF3">
        <w:t>2</w:t>
      </w:r>
      <w:r w:rsidR="002A07C1" w:rsidRPr="00B46CF3">
        <w:t xml:space="preserve"> including COLA</w:t>
      </w:r>
      <w:r w:rsidR="00324083" w:rsidRPr="00B46CF3">
        <w:t>:</w:t>
      </w:r>
    </w:p>
    <w:p w14:paraId="1F8F5B31" w14:textId="6AD08FAA" w:rsidR="00324083" w:rsidRPr="00B46CF3" w:rsidRDefault="00324083">
      <w:r w:rsidRPr="00B46CF3">
        <w:tab/>
      </w:r>
      <w:r w:rsidRPr="00B46CF3">
        <w:tab/>
      </w:r>
      <w:r w:rsidRPr="00B46CF3">
        <w:tab/>
      </w:r>
      <w:r w:rsidR="0080278F" w:rsidRPr="00B46CF3">
        <w:t xml:space="preserve">HS </w:t>
      </w:r>
      <w:r w:rsidRPr="00B46CF3">
        <w:t>Personnel:</w:t>
      </w:r>
      <w:r w:rsidRPr="00B46CF3">
        <w:tab/>
      </w:r>
      <w:r w:rsidR="0080278F" w:rsidRPr="00B46CF3">
        <w:tab/>
      </w:r>
      <w:r w:rsidRPr="00B46CF3">
        <w:t>$</w:t>
      </w:r>
      <w:r w:rsidR="00067327" w:rsidRPr="00B46CF3">
        <w:t xml:space="preserve"> </w:t>
      </w:r>
      <w:r w:rsidRPr="00B46CF3">
        <w:t>1,</w:t>
      </w:r>
      <w:r w:rsidR="005A5D6B" w:rsidRPr="00B46CF3">
        <w:t>2</w:t>
      </w:r>
      <w:r w:rsidR="00341779" w:rsidRPr="00B46CF3">
        <w:t>58</w:t>
      </w:r>
      <w:r w:rsidR="00FB3014" w:rsidRPr="00B46CF3">
        <w:t>,621</w:t>
      </w:r>
      <w:r w:rsidR="0080278F" w:rsidRPr="00B46CF3">
        <w:tab/>
        <w:t>EHS Personnel:</w:t>
      </w:r>
      <w:r w:rsidR="0080278F" w:rsidRPr="00B46CF3">
        <w:tab/>
        <w:t xml:space="preserve">$ </w:t>
      </w:r>
      <w:r w:rsidR="00250B9B" w:rsidRPr="00B46CF3">
        <w:t>22</w:t>
      </w:r>
      <w:r w:rsidR="002B5D3B" w:rsidRPr="00B46CF3">
        <w:t>8,959</w:t>
      </w:r>
    </w:p>
    <w:p w14:paraId="59AA3806" w14:textId="58E3C3B7" w:rsidR="0080278F" w:rsidRPr="00B46CF3" w:rsidRDefault="00324083">
      <w:r w:rsidRPr="00B46CF3">
        <w:tab/>
      </w:r>
      <w:r w:rsidRPr="00B46CF3">
        <w:tab/>
      </w:r>
      <w:r w:rsidRPr="00B46CF3">
        <w:tab/>
      </w:r>
      <w:r w:rsidR="0080278F" w:rsidRPr="00B46CF3">
        <w:t xml:space="preserve">HS </w:t>
      </w:r>
      <w:r w:rsidRPr="00B46CF3">
        <w:t>Fringe:</w:t>
      </w:r>
      <w:r w:rsidRPr="00B46CF3">
        <w:tab/>
      </w:r>
      <w:r w:rsidR="0080278F" w:rsidRPr="00B46CF3">
        <w:tab/>
      </w:r>
      <w:r w:rsidRPr="00B46CF3">
        <w:t xml:space="preserve">$   </w:t>
      </w:r>
      <w:r w:rsidR="002E0D26" w:rsidRPr="00B46CF3">
        <w:t>428,775</w:t>
      </w:r>
      <w:r w:rsidR="0080278F" w:rsidRPr="00B46CF3">
        <w:tab/>
        <w:t>EHS Benefits:</w:t>
      </w:r>
      <w:r w:rsidR="0080278F" w:rsidRPr="00B46CF3">
        <w:tab/>
      </w:r>
      <w:r w:rsidR="0080278F" w:rsidRPr="00B46CF3">
        <w:tab/>
        <w:t xml:space="preserve">$ </w:t>
      </w:r>
      <w:r w:rsidR="00AD3482" w:rsidRPr="00B46CF3">
        <w:t xml:space="preserve">  </w:t>
      </w:r>
      <w:r w:rsidR="00171F72" w:rsidRPr="00B46CF3">
        <w:t>73,530</w:t>
      </w:r>
    </w:p>
    <w:p w14:paraId="7234141F" w14:textId="4E08DCF4" w:rsidR="00324083" w:rsidRPr="00B46CF3" w:rsidRDefault="00A06359">
      <w:r w:rsidRPr="00B46CF3">
        <w:tab/>
      </w:r>
      <w:r w:rsidRPr="00B46CF3">
        <w:tab/>
      </w:r>
      <w:r w:rsidRPr="00B46CF3">
        <w:tab/>
      </w:r>
      <w:r w:rsidR="0080278F" w:rsidRPr="00B46CF3">
        <w:t xml:space="preserve">HS </w:t>
      </w:r>
      <w:r w:rsidRPr="00B46CF3">
        <w:t>Travel:</w:t>
      </w:r>
      <w:r w:rsidR="0080278F" w:rsidRPr="00B46CF3">
        <w:tab/>
      </w:r>
      <w:r w:rsidR="0080278F" w:rsidRPr="00B46CF3">
        <w:tab/>
      </w:r>
      <w:r w:rsidRPr="00B46CF3">
        <w:t xml:space="preserve">$       </w:t>
      </w:r>
      <w:r w:rsidR="00C136C9" w:rsidRPr="00B46CF3">
        <w:t>2,847</w:t>
      </w:r>
      <w:r w:rsidR="0080278F" w:rsidRPr="00B46CF3">
        <w:tab/>
        <w:t>EHS Travel:</w:t>
      </w:r>
      <w:r w:rsidR="0080278F" w:rsidRPr="00B46CF3">
        <w:tab/>
      </w:r>
      <w:r w:rsidR="0080278F" w:rsidRPr="00B46CF3">
        <w:tab/>
        <w:t xml:space="preserve">$     </w:t>
      </w:r>
      <w:r w:rsidR="0027200C" w:rsidRPr="00B46CF3">
        <w:t xml:space="preserve">   </w:t>
      </w:r>
      <w:r w:rsidR="00356551" w:rsidRPr="00B46CF3">
        <w:t xml:space="preserve">    </w:t>
      </w:r>
      <w:r w:rsidR="000036D8" w:rsidRPr="00B46CF3">
        <w:t>0</w:t>
      </w:r>
    </w:p>
    <w:p w14:paraId="52F4D036" w14:textId="63BB7B65" w:rsidR="00324083" w:rsidRPr="00B46CF3" w:rsidRDefault="000B6156">
      <w:r w:rsidRPr="00B46CF3">
        <w:tab/>
      </w:r>
      <w:r w:rsidRPr="00B46CF3">
        <w:tab/>
      </w:r>
      <w:r w:rsidRPr="00B46CF3">
        <w:tab/>
      </w:r>
      <w:r w:rsidR="0080278F" w:rsidRPr="00B46CF3">
        <w:t xml:space="preserve">HS </w:t>
      </w:r>
      <w:r w:rsidR="00324083" w:rsidRPr="00B46CF3">
        <w:t>Supplies:</w:t>
      </w:r>
      <w:r w:rsidR="00324083" w:rsidRPr="00B46CF3">
        <w:tab/>
      </w:r>
      <w:r w:rsidR="0080278F" w:rsidRPr="00B46CF3">
        <w:tab/>
      </w:r>
      <w:r w:rsidR="00324083" w:rsidRPr="00B46CF3">
        <w:t xml:space="preserve">$     </w:t>
      </w:r>
      <w:r w:rsidR="0066035B" w:rsidRPr="00B46CF3">
        <w:t>35,664</w:t>
      </w:r>
      <w:r w:rsidR="00300EFD" w:rsidRPr="00B46CF3">
        <w:tab/>
        <w:t>EHS Supplies:</w:t>
      </w:r>
      <w:r w:rsidR="00300EFD" w:rsidRPr="00B46CF3">
        <w:tab/>
      </w:r>
      <w:r w:rsidR="00300EFD" w:rsidRPr="00B46CF3">
        <w:tab/>
        <w:t xml:space="preserve">$   </w:t>
      </w:r>
      <w:r w:rsidR="00A77B51" w:rsidRPr="00B46CF3">
        <w:t>35</w:t>
      </w:r>
      <w:r w:rsidR="00B064F0" w:rsidRPr="00B46CF3">
        <w:t>,</w:t>
      </w:r>
      <w:r w:rsidR="00F8050E" w:rsidRPr="00B46CF3">
        <w:t>331</w:t>
      </w:r>
    </w:p>
    <w:p w14:paraId="14E497A3" w14:textId="07EA9AB3" w:rsidR="00324083" w:rsidRPr="00B46CF3" w:rsidRDefault="00324083">
      <w:r w:rsidRPr="00B46CF3">
        <w:tab/>
      </w:r>
      <w:r w:rsidRPr="00B46CF3">
        <w:tab/>
      </w:r>
      <w:r w:rsidRPr="00B46CF3">
        <w:tab/>
      </w:r>
      <w:r w:rsidR="0080278F" w:rsidRPr="00B46CF3">
        <w:t xml:space="preserve">HS </w:t>
      </w:r>
      <w:r w:rsidRPr="00B46CF3">
        <w:t>Other:</w:t>
      </w:r>
      <w:r w:rsidRPr="00B46CF3">
        <w:tab/>
      </w:r>
      <w:r w:rsidR="0080278F" w:rsidRPr="00B46CF3">
        <w:tab/>
      </w:r>
      <w:r w:rsidRPr="00B46CF3">
        <w:t xml:space="preserve">$   </w:t>
      </w:r>
      <w:r w:rsidR="00724EEB" w:rsidRPr="00B46CF3">
        <w:t>171,676</w:t>
      </w:r>
      <w:r w:rsidR="00300EFD" w:rsidRPr="00B46CF3">
        <w:tab/>
        <w:t>EHS Other</w:t>
      </w:r>
      <w:r w:rsidR="00300EFD" w:rsidRPr="00B46CF3">
        <w:tab/>
      </w:r>
      <w:r w:rsidR="00300EFD" w:rsidRPr="00B46CF3">
        <w:tab/>
        <w:t xml:space="preserve">$ </w:t>
      </w:r>
      <w:r w:rsidR="00AD3482" w:rsidRPr="00B46CF3">
        <w:t xml:space="preserve"> </w:t>
      </w:r>
      <w:r w:rsidR="00427C5A" w:rsidRPr="00B46CF3">
        <w:t xml:space="preserve"> </w:t>
      </w:r>
      <w:r w:rsidR="00B24736" w:rsidRPr="00B46CF3">
        <w:t>4</w:t>
      </w:r>
      <w:r w:rsidR="00223B25" w:rsidRPr="00B46CF3">
        <w:t>2,005</w:t>
      </w:r>
    </w:p>
    <w:p w14:paraId="209A10E6" w14:textId="6ED90510" w:rsidR="00324083" w:rsidRPr="00B46CF3" w:rsidRDefault="00324083">
      <w:pPr>
        <w:rPr>
          <w:u w:val="single"/>
        </w:rPr>
      </w:pPr>
      <w:r w:rsidRPr="00B46CF3">
        <w:tab/>
      </w:r>
      <w:r w:rsidRPr="00B46CF3">
        <w:tab/>
      </w:r>
      <w:r w:rsidRPr="00B46CF3">
        <w:tab/>
      </w:r>
      <w:r w:rsidR="0080278F" w:rsidRPr="00B46CF3">
        <w:t xml:space="preserve">HS </w:t>
      </w:r>
      <w:r w:rsidRPr="00B46CF3">
        <w:t>Indirect Cost:</w:t>
      </w:r>
      <w:r w:rsidRPr="00B46CF3">
        <w:tab/>
      </w:r>
      <w:r w:rsidRPr="00B46CF3">
        <w:rPr>
          <w:u w:val="single"/>
        </w:rPr>
        <w:t xml:space="preserve">$   </w:t>
      </w:r>
      <w:r w:rsidR="00A45F44" w:rsidRPr="00B46CF3">
        <w:rPr>
          <w:u w:val="single"/>
        </w:rPr>
        <w:t>1</w:t>
      </w:r>
      <w:r w:rsidR="005E67AD" w:rsidRPr="00B46CF3">
        <w:rPr>
          <w:u w:val="single"/>
        </w:rPr>
        <w:t>2</w:t>
      </w:r>
      <w:r w:rsidR="003E3769" w:rsidRPr="00B46CF3">
        <w:rPr>
          <w:u w:val="single"/>
        </w:rPr>
        <w:t>8,733</w:t>
      </w:r>
      <w:r w:rsidR="00300EFD" w:rsidRPr="00B46CF3">
        <w:tab/>
        <w:t>EHS Indirect Cost:</w:t>
      </w:r>
      <w:r w:rsidR="00300EFD" w:rsidRPr="00B46CF3">
        <w:tab/>
      </w:r>
      <w:r w:rsidR="00300EFD" w:rsidRPr="00B46CF3">
        <w:rPr>
          <w:u w:val="single"/>
        </w:rPr>
        <w:t xml:space="preserve">$   </w:t>
      </w:r>
      <w:r w:rsidR="00873091" w:rsidRPr="00B46CF3">
        <w:rPr>
          <w:u w:val="single"/>
        </w:rPr>
        <w:t>22,289</w:t>
      </w:r>
    </w:p>
    <w:p w14:paraId="59936D19" w14:textId="51F0513A" w:rsidR="00CD1CCC" w:rsidRPr="00B46CF3" w:rsidRDefault="00CD1CCC"/>
    <w:p w14:paraId="5187025F" w14:textId="548D4171" w:rsidR="00324083" w:rsidRPr="00B46CF3" w:rsidRDefault="00324083">
      <w:r w:rsidRPr="00B46CF3">
        <w:tab/>
      </w:r>
      <w:r w:rsidRPr="00B46CF3">
        <w:tab/>
      </w:r>
      <w:r w:rsidRPr="00B46CF3">
        <w:tab/>
        <w:t xml:space="preserve">Total </w:t>
      </w:r>
      <w:r w:rsidR="0080278F" w:rsidRPr="00B46CF3">
        <w:t xml:space="preserve">HS </w:t>
      </w:r>
      <w:r w:rsidR="00A45F44" w:rsidRPr="00B46CF3">
        <w:t>Federal:</w:t>
      </w:r>
      <w:r w:rsidR="00A45F44" w:rsidRPr="00B46CF3">
        <w:tab/>
        <w:t xml:space="preserve">$ </w:t>
      </w:r>
      <w:r w:rsidR="004A7C81" w:rsidRPr="00B46CF3">
        <w:t>2</w:t>
      </w:r>
      <w:r w:rsidR="006B4FD2" w:rsidRPr="00B46CF3">
        <w:t>,0</w:t>
      </w:r>
      <w:r w:rsidR="00D82926" w:rsidRPr="00B46CF3">
        <w:t>26,</w:t>
      </w:r>
      <w:r w:rsidR="002E19EE" w:rsidRPr="00B46CF3">
        <w:t>316</w:t>
      </w:r>
      <w:r w:rsidR="00300EFD" w:rsidRPr="00B46CF3">
        <w:tab/>
        <w:t>Total EHS Federal:</w:t>
      </w:r>
      <w:r w:rsidR="00300EFD" w:rsidRPr="00B46CF3">
        <w:tab/>
        <w:t>$</w:t>
      </w:r>
      <w:r w:rsidR="00AD3482" w:rsidRPr="00B46CF3">
        <w:t xml:space="preserve"> </w:t>
      </w:r>
      <w:r w:rsidR="00A034D4" w:rsidRPr="00B46CF3">
        <w:t>402,114</w:t>
      </w:r>
    </w:p>
    <w:p w14:paraId="1D54E86D" w14:textId="77777777" w:rsidR="00434A54" w:rsidRPr="00B46CF3" w:rsidRDefault="00CD1CCC">
      <w:r w:rsidRPr="00B46CF3">
        <w:tab/>
      </w:r>
      <w:r w:rsidRPr="00B46CF3">
        <w:tab/>
      </w:r>
      <w:r w:rsidRPr="00B46CF3">
        <w:tab/>
        <w:t>Training/Technical</w:t>
      </w:r>
      <w:r w:rsidRPr="00B46CF3">
        <w:tab/>
        <w:t xml:space="preserve">$    </w:t>
      </w:r>
      <w:r w:rsidR="002839C8" w:rsidRPr="00B46CF3">
        <w:t xml:space="preserve"> 23,295</w:t>
      </w:r>
      <w:r w:rsidR="002839C8" w:rsidRPr="00B46CF3">
        <w:tab/>
        <w:t>EHS Training/Tech</w:t>
      </w:r>
      <w:r w:rsidR="002839C8" w:rsidRPr="00B46CF3">
        <w:tab/>
      </w:r>
      <w:r w:rsidR="00817ECD" w:rsidRPr="00B46CF3">
        <w:t>$     6,952</w:t>
      </w:r>
    </w:p>
    <w:p w14:paraId="57A1D8CB" w14:textId="44163079" w:rsidR="00CD1CCC" w:rsidRPr="00B46CF3" w:rsidRDefault="00434A54">
      <w:r w:rsidRPr="00B46CF3">
        <w:tab/>
      </w:r>
      <w:r w:rsidRPr="00B46CF3">
        <w:tab/>
      </w:r>
      <w:r w:rsidRPr="00B46CF3">
        <w:tab/>
        <w:t xml:space="preserve">Total </w:t>
      </w:r>
      <w:r w:rsidR="00A87BE6" w:rsidRPr="00B46CF3">
        <w:t>HS Funding</w:t>
      </w:r>
      <w:r w:rsidR="00A87BE6" w:rsidRPr="00B46CF3">
        <w:tab/>
        <w:t>$</w:t>
      </w:r>
      <w:r w:rsidR="00641011" w:rsidRPr="00B46CF3">
        <w:t>2,</w:t>
      </w:r>
      <w:r w:rsidR="005665E2" w:rsidRPr="00B46CF3">
        <w:t>04</w:t>
      </w:r>
      <w:r w:rsidR="001D64E6" w:rsidRPr="00B46CF3">
        <w:t>9,611</w:t>
      </w:r>
      <w:r w:rsidR="00A87BE6" w:rsidRPr="00B46CF3">
        <w:tab/>
      </w:r>
      <w:r w:rsidR="00F22CFC" w:rsidRPr="00B46CF3">
        <w:t>Total EHS Funds</w:t>
      </w:r>
      <w:r w:rsidR="00F22CFC" w:rsidRPr="00B46CF3">
        <w:tab/>
        <w:t>$</w:t>
      </w:r>
      <w:r w:rsidR="00C16C19" w:rsidRPr="00B46CF3">
        <w:t xml:space="preserve"> </w:t>
      </w:r>
      <w:r w:rsidR="00CC47BC" w:rsidRPr="00B46CF3">
        <w:t>409,066</w:t>
      </w:r>
      <w:r w:rsidR="002839C8" w:rsidRPr="00B46CF3">
        <w:tab/>
      </w:r>
    </w:p>
    <w:p w14:paraId="4372E6E7" w14:textId="78737EFC" w:rsidR="00324083" w:rsidRPr="00B46CF3" w:rsidRDefault="00324083">
      <w:r w:rsidRPr="00B46CF3">
        <w:tab/>
      </w:r>
      <w:r w:rsidRPr="00B46CF3">
        <w:tab/>
      </w:r>
      <w:r w:rsidRPr="00B46CF3">
        <w:tab/>
      </w:r>
      <w:r w:rsidR="0080278F" w:rsidRPr="00B46CF3">
        <w:t xml:space="preserve">HS </w:t>
      </w:r>
      <w:r w:rsidRPr="00B46CF3">
        <w:t>Non-Federal:</w:t>
      </w:r>
      <w:r w:rsidRPr="00B46CF3">
        <w:tab/>
        <w:t xml:space="preserve">$   </w:t>
      </w:r>
      <w:r w:rsidR="008D5371" w:rsidRPr="00B46CF3">
        <w:t>289,061</w:t>
      </w:r>
      <w:r w:rsidR="00300EFD" w:rsidRPr="00B46CF3">
        <w:tab/>
        <w:t>EHS Non-Federal:</w:t>
      </w:r>
      <w:r w:rsidR="00300EFD" w:rsidRPr="00B46CF3">
        <w:tab/>
      </w:r>
      <w:r w:rsidR="00300EFD" w:rsidRPr="00B46CF3">
        <w:rPr>
          <w:u w:val="single"/>
        </w:rPr>
        <w:t xml:space="preserve">$ </w:t>
      </w:r>
      <w:r w:rsidR="008D5371" w:rsidRPr="00B46CF3">
        <w:rPr>
          <w:u w:val="single"/>
        </w:rPr>
        <w:t xml:space="preserve">  57,240</w:t>
      </w:r>
    </w:p>
    <w:p w14:paraId="2A111771" w14:textId="224E7D2E" w:rsidR="00324083" w:rsidRPr="00B46CF3" w:rsidRDefault="00324083">
      <w:r w:rsidRPr="00B46CF3">
        <w:tab/>
      </w:r>
      <w:r w:rsidRPr="00B46CF3">
        <w:tab/>
      </w:r>
      <w:r w:rsidRPr="00B46CF3">
        <w:tab/>
      </w:r>
      <w:r w:rsidR="0080278F" w:rsidRPr="00B46CF3">
        <w:t xml:space="preserve">HS </w:t>
      </w:r>
      <w:r w:rsidRPr="00B46CF3">
        <w:t>USDA:</w:t>
      </w:r>
      <w:r w:rsidR="0080278F" w:rsidRPr="00B46CF3">
        <w:tab/>
      </w:r>
      <w:r w:rsidRPr="00B46CF3">
        <w:tab/>
      </w:r>
      <w:r w:rsidRPr="00B46CF3">
        <w:rPr>
          <w:u w:val="single"/>
        </w:rPr>
        <w:t xml:space="preserve">$  </w:t>
      </w:r>
      <w:r w:rsidR="005C1915" w:rsidRPr="00B46CF3">
        <w:rPr>
          <w:u w:val="single"/>
        </w:rPr>
        <w:t xml:space="preserve"> </w:t>
      </w:r>
      <w:r w:rsidRPr="00B46CF3">
        <w:rPr>
          <w:u w:val="single"/>
        </w:rPr>
        <w:t xml:space="preserve"> </w:t>
      </w:r>
      <w:r w:rsidR="00944319" w:rsidRPr="00B46CF3">
        <w:rPr>
          <w:u w:val="single"/>
        </w:rPr>
        <w:t>87,930</w:t>
      </w:r>
      <w:r w:rsidR="00EC7DD7" w:rsidRPr="00B46CF3">
        <w:tab/>
      </w:r>
      <w:r w:rsidR="00300EFD" w:rsidRPr="00B46CF3">
        <w:tab/>
      </w:r>
    </w:p>
    <w:p w14:paraId="6CBD16A0" w14:textId="77777777" w:rsidR="006757B9" w:rsidRPr="00B46CF3" w:rsidRDefault="00324083">
      <w:r w:rsidRPr="00B46CF3">
        <w:tab/>
      </w:r>
      <w:r w:rsidRPr="00B46CF3">
        <w:tab/>
      </w:r>
      <w:r w:rsidRPr="00B46CF3">
        <w:tab/>
      </w:r>
    </w:p>
    <w:p w14:paraId="2D19EA64" w14:textId="59349814" w:rsidR="00324083" w:rsidRPr="00B46CF3" w:rsidRDefault="006757B9">
      <w:r w:rsidRPr="00B46CF3">
        <w:tab/>
      </w:r>
      <w:r w:rsidRPr="00B46CF3">
        <w:tab/>
      </w:r>
      <w:r w:rsidRPr="00B46CF3">
        <w:tab/>
      </w:r>
      <w:r w:rsidR="00324083" w:rsidRPr="00B46CF3">
        <w:t>TOTAL</w:t>
      </w:r>
      <w:r w:rsidRPr="00B46CF3">
        <w:t xml:space="preserve"> FEDERAL</w:t>
      </w:r>
      <w:r w:rsidR="00324083" w:rsidRPr="00B46CF3">
        <w:t>:</w:t>
      </w:r>
      <w:r w:rsidR="00324083" w:rsidRPr="00B46CF3">
        <w:tab/>
      </w:r>
      <w:r w:rsidRPr="00B46CF3">
        <w:tab/>
      </w:r>
      <w:r w:rsidR="00324083" w:rsidRPr="00B46CF3">
        <w:t>$</w:t>
      </w:r>
      <w:r w:rsidR="00AD3482" w:rsidRPr="00B46CF3">
        <w:t>2,</w:t>
      </w:r>
      <w:r w:rsidR="00987BF7" w:rsidRPr="00B46CF3">
        <w:t>458,677</w:t>
      </w:r>
    </w:p>
    <w:p w14:paraId="5641D851" w14:textId="112B5DE5" w:rsidR="006757B9" w:rsidRPr="00B46CF3" w:rsidRDefault="006757B9">
      <w:r w:rsidRPr="00B46CF3">
        <w:tab/>
      </w:r>
      <w:r w:rsidRPr="00B46CF3">
        <w:tab/>
      </w:r>
      <w:r w:rsidRPr="00B46CF3">
        <w:tab/>
        <w:t>TOTAL NON-FEDERAL:</w:t>
      </w:r>
      <w:r w:rsidRPr="00B46CF3">
        <w:tab/>
        <w:t xml:space="preserve">$  </w:t>
      </w:r>
      <w:r w:rsidR="00AD3482" w:rsidRPr="00B46CF3">
        <w:t xml:space="preserve"> </w:t>
      </w:r>
      <w:r w:rsidR="00211347" w:rsidRPr="00B46CF3">
        <w:t>346,301</w:t>
      </w:r>
    </w:p>
    <w:p w14:paraId="37147B09" w14:textId="257F1D88" w:rsidR="00F157CE" w:rsidRPr="00B46CF3" w:rsidRDefault="006757B9">
      <w:r w:rsidRPr="00B46CF3">
        <w:tab/>
      </w:r>
      <w:r w:rsidRPr="00B46CF3">
        <w:tab/>
      </w:r>
      <w:r w:rsidRPr="00B46CF3">
        <w:tab/>
        <w:t>TOTAL USDA:</w:t>
      </w:r>
      <w:r w:rsidRPr="00B46CF3">
        <w:tab/>
      </w:r>
      <w:r w:rsidRPr="00B46CF3">
        <w:tab/>
        <w:t xml:space="preserve">$    </w:t>
      </w:r>
      <w:r w:rsidR="00AD3482" w:rsidRPr="00B46CF3">
        <w:t xml:space="preserve"> </w:t>
      </w:r>
      <w:r w:rsidR="00211347" w:rsidRPr="00B46CF3">
        <w:t>87,930</w:t>
      </w:r>
    </w:p>
    <w:p w14:paraId="1EA4D042" w14:textId="4B154CAC" w:rsidR="00831E98" w:rsidRPr="00B46CF3" w:rsidRDefault="0014345F">
      <w:r w:rsidRPr="00B46CF3">
        <w:t xml:space="preserve">Current Year </w:t>
      </w:r>
      <w:r w:rsidR="006D1A7F" w:rsidRPr="00B46CF3">
        <w:t>FY #</w:t>
      </w:r>
      <w:r w:rsidRPr="00B46CF3">
        <w:t>51-3</w:t>
      </w:r>
    </w:p>
    <w:p w14:paraId="554009D7" w14:textId="77777777" w:rsidR="00BA1AB1" w:rsidRDefault="00BA1AB1"/>
    <w:p w14:paraId="0E05D7C8" w14:textId="536C1429" w:rsidR="00BA1AB1" w:rsidRDefault="00BA1AB1" w:rsidP="00BA1AB1">
      <w:r>
        <w:t>Funding Sources:</w:t>
      </w:r>
      <w:r>
        <w:tab/>
        <w:t>$     2,</w:t>
      </w:r>
      <w:r w:rsidR="003D38DA">
        <w:t>526,930</w:t>
      </w:r>
      <w:r>
        <w:tab/>
      </w:r>
      <w:r>
        <w:tab/>
        <w:t>ACF/Office of Head Start (202</w:t>
      </w:r>
      <w:r w:rsidR="00FC76AE">
        <w:t>2</w:t>
      </w:r>
      <w:r>
        <w:t>-202</w:t>
      </w:r>
      <w:r w:rsidR="00FC76AE">
        <w:t>3</w:t>
      </w:r>
      <w:r>
        <w:t>)</w:t>
      </w:r>
    </w:p>
    <w:p w14:paraId="1133D05A" w14:textId="0C7691A2" w:rsidR="00BA1AB1" w:rsidRDefault="00BA1AB1" w:rsidP="00BA1AB1">
      <w:r>
        <w:tab/>
      </w:r>
      <w:r>
        <w:tab/>
      </w:r>
      <w:r>
        <w:tab/>
        <w:t xml:space="preserve">$          </w:t>
      </w:r>
      <w:r w:rsidR="003D38DA">
        <w:t>92,000</w:t>
      </w:r>
      <w:r>
        <w:tab/>
      </w:r>
      <w:r>
        <w:tab/>
        <w:t>USDA/Child/Adult Care Food Program (202</w:t>
      </w:r>
      <w:r w:rsidR="003D38DA">
        <w:t>2</w:t>
      </w:r>
      <w:r>
        <w:t>-202</w:t>
      </w:r>
      <w:r w:rsidR="003D38DA">
        <w:t>3</w:t>
      </w:r>
      <w:r>
        <w:t>)</w:t>
      </w:r>
    </w:p>
    <w:p w14:paraId="0BCCC51F" w14:textId="5B4F1F8E" w:rsidR="00BA1AB1" w:rsidRDefault="00BA1AB1" w:rsidP="00BA1AB1">
      <w:r>
        <w:tab/>
      </w:r>
      <w:r>
        <w:tab/>
      </w:r>
      <w:r>
        <w:tab/>
      </w:r>
      <w:r w:rsidRPr="003A4AA8">
        <w:t>$</w:t>
      </w:r>
      <w:r>
        <w:t xml:space="preserve">    </w:t>
      </w:r>
      <w:r w:rsidRPr="003A4AA8">
        <w:t xml:space="preserve"> </w:t>
      </w:r>
      <w:r>
        <w:t xml:space="preserve">       </w:t>
      </w:r>
      <w:r w:rsidR="008B5CE3">
        <w:t>4,575</w:t>
      </w:r>
      <w:r>
        <w:tab/>
      </w:r>
      <w:r w:rsidR="00EF767D">
        <w:tab/>
      </w:r>
      <w:r>
        <w:t>Donations (</w:t>
      </w:r>
      <w:r w:rsidR="00EF767D">
        <w:t xml:space="preserve">To Date </w:t>
      </w:r>
      <w:r>
        <w:t>202</w:t>
      </w:r>
      <w:r w:rsidR="003D38DA">
        <w:t>2</w:t>
      </w:r>
      <w:r>
        <w:t>-202</w:t>
      </w:r>
      <w:r w:rsidR="003D38DA">
        <w:t>3</w:t>
      </w:r>
      <w:r>
        <w:t>)</w:t>
      </w:r>
    </w:p>
    <w:p w14:paraId="60114226" w14:textId="77777777" w:rsidR="00831E98" w:rsidRDefault="00BA1AB1" w:rsidP="00BA1AB1">
      <w:pPr>
        <w:ind w:left="1440" w:firstLine="720"/>
      </w:pPr>
      <w:r>
        <w:t>$        346,301</w:t>
      </w:r>
      <w:r>
        <w:tab/>
      </w:r>
      <w:r>
        <w:tab/>
        <w:t>Non-federal/Local Matching Resources w/ Waiver</w:t>
      </w:r>
    </w:p>
    <w:p w14:paraId="49B2E11F" w14:textId="3BC06C8D" w:rsidR="00BA1AB1" w:rsidRDefault="00BA1AB1" w:rsidP="00BA1AB1">
      <w:pPr>
        <w:ind w:left="1440" w:firstLine="720"/>
      </w:pPr>
      <w:r>
        <w:t xml:space="preserve"> </w:t>
      </w:r>
    </w:p>
    <w:p w14:paraId="78151B24" w14:textId="77777777" w:rsidR="00831E98" w:rsidRPr="005C1915" w:rsidRDefault="00831E98" w:rsidP="00831E98">
      <w:r>
        <w:t>Proposed Budget:</w:t>
      </w:r>
      <w:r>
        <w:tab/>
        <w:t xml:space="preserve">FY2021 </w:t>
      </w:r>
      <w:r w:rsidRPr="005C1915">
        <w:t>-Program Year #</w:t>
      </w:r>
      <w:r>
        <w:t>50-2 including COLA</w:t>
      </w:r>
      <w:r w:rsidRPr="005C1915">
        <w:t>:</w:t>
      </w:r>
    </w:p>
    <w:p w14:paraId="5CBF39F9" w14:textId="77777777" w:rsidR="00831E98" w:rsidRPr="00AD3482" w:rsidRDefault="00831E98" w:rsidP="00831E98">
      <w:r w:rsidRPr="005C1915">
        <w:tab/>
      </w:r>
      <w:r w:rsidRPr="005C1915">
        <w:tab/>
      </w:r>
      <w:r w:rsidRPr="005C1915">
        <w:tab/>
      </w:r>
      <w:r w:rsidRPr="00AD3482">
        <w:t>HS Personnel:</w:t>
      </w:r>
      <w:r w:rsidRPr="00AD3482">
        <w:tab/>
      </w:r>
      <w:r w:rsidRPr="00AD3482">
        <w:tab/>
        <w:t>$1,</w:t>
      </w:r>
      <w:r>
        <w:t>287,336</w:t>
      </w:r>
      <w:r w:rsidRPr="00AD3482">
        <w:tab/>
        <w:t>EHS Personnel:</w:t>
      </w:r>
      <w:r w:rsidRPr="00AD3482">
        <w:tab/>
        <w:t xml:space="preserve">$ </w:t>
      </w:r>
      <w:r>
        <w:t>222,883</w:t>
      </w:r>
    </w:p>
    <w:p w14:paraId="2F1FF613" w14:textId="77777777" w:rsidR="00831E98" w:rsidRPr="00AD3482" w:rsidRDefault="00831E98" w:rsidP="00831E98">
      <w:r w:rsidRPr="00AD3482">
        <w:tab/>
      </w:r>
      <w:r w:rsidRPr="00AD3482">
        <w:tab/>
      </w:r>
      <w:r w:rsidRPr="00AD3482">
        <w:tab/>
        <w:t>HS Fringe:</w:t>
      </w:r>
      <w:r w:rsidRPr="00AD3482">
        <w:tab/>
      </w:r>
      <w:r w:rsidRPr="00AD3482">
        <w:tab/>
        <w:t xml:space="preserve">$   </w:t>
      </w:r>
      <w:r>
        <w:t>394,679</w:t>
      </w:r>
      <w:r w:rsidRPr="00AD3482">
        <w:tab/>
        <w:t>EHS Benefits:</w:t>
      </w:r>
      <w:r w:rsidRPr="00AD3482">
        <w:tab/>
      </w:r>
      <w:r w:rsidRPr="00AD3482">
        <w:tab/>
        <w:t xml:space="preserve">$   </w:t>
      </w:r>
      <w:r>
        <w:t>92,581</w:t>
      </w:r>
    </w:p>
    <w:p w14:paraId="783010F7" w14:textId="77777777" w:rsidR="00831E98" w:rsidRPr="00AD3482" w:rsidRDefault="00831E98" w:rsidP="00831E98">
      <w:r w:rsidRPr="00AD3482">
        <w:tab/>
      </w:r>
      <w:r w:rsidRPr="00AD3482">
        <w:tab/>
      </w:r>
      <w:r w:rsidRPr="00AD3482">
        <w:tab/>
        <w:t>HS Travel:</w:t>
      </w:r>
      <w:r w:rsidRPr="00AD3482">
        <w:tab/>
      </w:r>
      <w:r w:rsidRPr="00AD3482">
        <w:tab/>
        <w:t xml:space="preserve">$       </w:t>
      </w:r>
      <w:r>
        <w:t xml:space="preserve">   470</w:t>
      </w:r>
      <w:r w:rsidRPr="00AD3482">
        <w:tab/>
        <w:t>EHS Travel:</w:t>
      </w:r>
      <w:r w:rsidRPr="00AD3482">
        <w:tab/>
      </w:r>
      <w:r w:rsidRPr="00AD3482">
        <w:tab/>
        <w:t xml:space="preserve">$     </w:t>
      </w:r>
      <w:r>
        <w:t xml:space="preserve">   250</w:t>
      </w:r>
    </w:p>
    <w:p w14:paraId="6707BA4E" w14:textId="77777777" w:rsidR="00831E98" w:rsidRPr="00AD3482" w:rsidRDefault="00831E98" w:rsidP="00831E98">
      <w:r w:rsidRPr="00AD3482">
        <w:tab/>
      </w:r>
      <w:r w:rsidRPr="00AD3482">
        <w:tab/>
      </w:r>
      <w:r w:rsidRPr="00AD3482">
        <w:tab/>
        <w:t>HS Supplies:</w:t>
      </w:r>
      <w:r w:rsidRPr="00AD3482">
        <w:tab/>
      </w:r>
      <w:r w:rsidRPr="00AD3482">
        <w:tab/>
        <w:t xml:space="preserve">$     </w:t>
      </w:r>
      <w:r>
        <w:t>42,129</w:t>
      </w:r>
      <w:r w:rsidRPr="00AD3482">
        <w:tab/>
        <w:t>EHS Supplies:</w:t>
      </w:r>
      <w:r w:rsidRPr="00AD3482">
        <w:tab/>
      </w:r>
      <w:r w:rsidRPr="00AD3482">
        <w:tab/>
        <w:t xml:space="preserve">$   </w:t>
      </w:r>
      <w:r>
        <w:t>10,113</w:t>
      </w:r>
    </w:p>
    <w:p w14:paraId="2E8335CD" w14:textId="77777777" w:rsidR="00831E98" w:rsidRPr="00AD3482" w:rsidRDefault="00831E98" w:rsidP="00831E98">
      <w:r w:rsidRPr="00AD3482">
        <w:tab/>
      </w:r>
      <w:r w:rsidRPr="00AD3482">
        <w:tab/>
      </w:r>
      <w:r w:rsidRPr="00AD3482">
        <w:tab/>
        <w:t>HS Other:</w:t>
      </w:r>
      <w:r w:rsidRPr="00AD3482">
        <w:tab/>
      </w:r>
      <w:r w:rsidRPr="00AD3482">
        <w:tab/>
        <w:t xml:space="preserve">$   </w:t>
      </w:r>
      <w:r>
        <w:t>172,969</w:t>
      </w:r>
      <w:r w:rsidRPr="00AD3482">
        <w:tab/>
        <w:t>EHS Other</w:t>
      </w:r>
      <w:r w:rsidRPr="00AD3482">
        <w:tab/>
      </w:r>
      <w:r w:rsidRPr="00AD3482">
        <w:tab/>
        <w:t xml:space="preserve">$  </w:t>
      </w:r>
      <w:r>
        <w:t xml:space="preserve"> 53,998</w:t>
      </w:r>
    </w:p>
    <w:p w14:paraId="7AB3CFC9" w14:textId="77777777" w:rsidR="00831E98" w:rsidRDefault="00831E98" w:rsidP="00831E98">
      <w:pPr>
        <w:rPr>
          <w:u w:val="single"/>
        </w:rPr>
      </w:pPr>
      <w:r w:rsidRPr="00AD3482">
        <w:tab/>
      </w:r>
      <w:r w:rsidRPr="00AD3482">
        <w:tab/>
      </w:r>
      <w:r w:rsidRPr="00AD3482">
        <w:tab/>
        <w:t>HS Indirect Cost:</w:t>
      </w:r>
      <w:r w:rsidRPr="00AD3482">
        <w:tab/>
      </w:r>
      <w:r w:rsidRPr="00AD3482">
        <w:rPr>
          <w:u w:val="single"/>
        </w:rPr>
        <w:t xml:space="preserve">$   </w:t>
      </w:r>
      <w:r>
        <w:rPr>
          <w:u w:val="single"/>
        </w:rPr>
        <w:t>128,733</w:t>
      </w:r>
      <w:r w:rsidRPr="00AD3482">
        <w:tab/>
        <w:t>EHS Indirect Cost:</w:t>
      </w:r>
      <w:r w:rsidRPr="00AD3482">
        <w:tab/>
      </w:r>
      <w:r w:rsidRPr="00AD3482">
        <w:rPr>
          <w:u w:val="single"/>
        </w:rPr>
        <w:t xml:space="preserve">$   </w:t>
      </w:r>
      <w:r>
        <w:rPr>
          <w:u w:val="single"/>
        </w:rPr>
        <w:t>22,289</w:t>
      </w:r>
    </w:p>
    <w:p w14:paraId="5F375BD0" w14:textId="77777777" w:rsidR="00831E98" w:rsidRPr="00AD3482" w:rsidRDefault="00831E98" w:rsidP="00831E98"/>
    <w:p w14:paraId="69CA15E6" w14:textId="77777777" w:rsidR="00831E98" w:rsidRDefault="00831E98" w:rsidP="00831E98">
      <w:r w:rsidRPr="00AD3482">
        <w:tab/>
      </w:r>
      <w:r w:rsidRPr="00AD3482">
        <w:tab/>
      </w:r>
      <w:r w:rsidRPr="00AD3482">
        <w:tab/>
        <w:t xml:space="preserve">Total HS </w:t>
      </w:r>
      <w:r>
        <w:t>Federal:</w:t>
      </w:r>
      <w:r>
        <w:tab/>
        <w:t>$ 2,026,316</w:t>
      </w:r>
      <w:r w:rsidRPr="00AD3482">
        <w:tab/>
        <w:t>Total EHS Federal:</w:t>
      </w:r>
      <w:r w:rsidRPr="00AD3482">
        <w:tab/>
        <w:t xml:space="preserve">$ </w:t>
      </w:r>
      <w:r>
        <w:t>402,114</w:t>
      </w:r>
    </w:p>
    <w:p w14:paraId="08B70282" w14:textId="77777777" w:rsidR="00831E98" w:rsidRDefault="00831E98" w:rsidP="00831E98">
      <w:r>
        <w:tab/>
      </w:r>
      <w:r>
        <w:tab/>
      </w:r>
      <w:r>
        <w:tab/>
        <w:t>Training/Technical</w:t>
      </w:r>
      <w:r>
        <w:tab/>
        <w:t>$     23,295</w:t>
      </w:r>
      <w:r>
        <w:tab/>
        <w:t>EHS Training/Tech</w:t>
      </w:r>
      <w:r>
        <w:tab/>
        <w:t>$     6,952</w:t>
      </w:r>
    </w:p>
    <w:p w14:paraId="6FE7E28E" w14:textId="77777777" w:rsidR="00831E98" w:rsidRPr="00AD3482" w:rsidRDefault="00831E98" w:rsidP="00831E98">
      <w:r>
        <w:tab/>
      </w:r>
      <w:r>
        <w:tab/>
      </w:r>
      <w:r>
        <w:tab/>
        <w:t>Total HS Funding</w:t>
      </w:r>
      <w:r>
        <w:tab/>
        <w:t>$2,049,611</w:t>
      </w:r>
      <w:r>
        <w:tab/>
        <w:t>Total EHS Funds</w:t>
      </w:r>
      <w:r>
        <w:tab/>
        <w:t>$ 409,066</w:t>
      </w:r>
      <w:r>
        <w:tab/>
      </w:r>
    </w:p>
    <w:p w14:paraId="2DEB5DAB" w14:textId="77777777" w:rsidR="00831E98" w:rsidRPr="00AD3482" w:rsidRDefault="00831E98" w:rsidP="00831E98">
      <w:r w:rsidRPr="00AD3482">
        <w:tab/>
      </w:r>
      <w:r w:rsidRPr="00AD3482">
        <w:tab/>
      </w:r>
      <w:r w:rsidRPr="00AD3482">
        <w:tab/>
        <w:t>HS Non-Federal:</w:t>
      </w:r>
      <w:r w:rsidRPr="00AD3482">
        <w:tab/>
        <w:t xml:space="preserve">$   </w:t>
      </w:r>
      <w:r>
        <w:t>506,297</w:t>
      </w:r>
      <w:r w:rsidRPr="00AD3482">
        <w:tab/>
        <w:t>EHS Non-Federal:</w:t>
      </w:r>
      <w:r w:rsidRPr="00AD3482">
        <w:tab/>
      </w:r>
      <w:r w:rsidRPr="00EC7DD7">
        <w:rPr>
          <w:u w:val="single"/>
        </w:rPr>
        <w:t xml:space="preserve">$ </w:t>
      </w:r>
      <w:r>
        <w:rPr>
          <w:u w:val="single"/>
        </w:rPr>
        <w:t>101,055</w:t>
      </w:r>
    </w:p>
    <w:p w14:paraId="39753B2B" w14:textId="77777777" w:rsidR="00831E98" w:rsidRPr="00AD3482" w:rsidRDefault="00831E98" w:rsidP="00831E98">
      <w:r w:rsidRPr="00AD3482">
        <w:tab/>
      </w:r>
      <w:r w:rsidRPr="00AD3482">
        <w:tab/>
      </w:r>
      <w:r w:rsidRPr="00AD3482">
        <w:tab/>
        <w:t>HS USDA:</w:t>
      </w:r>
      <w:r w:rsidRPr="00AD3482">
        <w:tab/>
      </w:r>
      <w:r w:rsidRPr="00AD3482">
        <w:tab/>
      </w:r>
      <w:r w:rsidRPr="00AD3482">
        <w:rPr>
          <w:u w:val="single"/>
        </w:rPr>
        <w:t xml:space="preserve">$     </w:t>
      </w:r>
      <w:r>
        <w:rPr>
          <w:u w:val="single"/>
        </w:rPr>
        <w:t>92,000</w:t>
      </w:r>
      <w:r>
        <w:tab/>
      </w:r>
      <w:r w:rsidRPr="00AD3482">
        <w:tab/>
      </w:r>
    </w:p>
    <w:p w14:paraId="616BB67D" w14:textId="77777777" w:rsidR="00831E98" w:rsidRPr="00AD3482" w:rsidRDefault="00831E98" w:rsidP="00831E98">
      <w:r w:rsidRPr="00AD3482">
        <w:tab/>
      </w:r>
      <w:r w:rsidRPr="00AD3482">
        <w:tab/>
      </w:r>
      <w:r w:rsidRPr="00AD3482">
        <w:tab/>
      </w:r>
    </w:p>
    <w:p w14:paraId="7C44B964" w14:textId="77777777" w:rsidR="00831E98" w:rsidRPr="00AD3482" w:rsidRDefault="00831E98" w:rsidP="00831E98">
      <w:r w:rsidRPr="00AD3482">
        <w:tab/>
      </w:r>
      <w:r w:rsidRPr="00AD3482">
        <w:tab/>
      </w:r>
      <w:r w:rsidRPr="00AD3482">
        <w:tab/>
        <w:t>TOTAL FEDERAL:</w:t>
      </w:r>
      <w:r w:rsidRPr="00AD3482">
        <w:tab/>
      </w:r>
      <w:r w:rsidRPr="00AD3482">
        <w:tab/>
        <w:t>$2,</w:t>
      </w:r>
      <w:r>
        <w:t>458,677</w:t>
      </w:r>
    </w:p>
    <w:p w14:paraId="73892550" w14:textId="77777777" w:rsidR="00831E98" w:rsidRPr="00AD3482" w:rsidRDefault="00831E98" w:rsidP="00831E98">
      <w:r w:rsidRPr="00AD3482">
        <w:tab/>
      </w:r>
      <w:r w:rsidRPr="00AD3482">
        <w:tab/>
      </w:r>
      <w:r w:rsidRPr="00AD3482">
        <w:tab/>
        <w:t>TOTAL NON-FEDERAL:</w:t>
      </w:r>
      <w:r w:rsidRPr="00AD3482">
        <w:tab/>
        <w:t xml:space="preserve">$   </w:t>
      </w:r>
      <w:r>
        <w:t>607,352</w:t>
      </w:r>
    </w:p>
    <w:p w14:paraId="6F697528" w14:textId="77777777" w:rsidR="00831E98" w:rsidRDefault="00831E98" w:rsidP="00831E98">
      <w:r w:rsidRPr="00AD3482">
        <w:tab/>
      </w:r>
      <w:r w:rsidRPr="00AD3482">
        <w:tab/>
      </w:r>
      <w:r w:rsidRPr="00AD3482">
        <w:tab/>
        <w:t>TOTAL USDA:</w:t>
      </w:r>
      <w:r w:rsidRPr="00AD3482">
        <w:tab/>
      </w:r>
      <w:r w:rsidRPr="00AD3482">
        <w:tab/>
        <w:t xml:space="preserve">$     </w:t>
      </w:r>
      <w:r>
        <w:t>92,000</w:t>
      </w:r>
    </w:p>
    <w:p w14:paraId="7BD0107A" w14:textId="77777777" w:rsidR="00831E98" w:rsidRDefault="00831E98" w:rsidP="00BA1AB1">
      <w:pPr>
        <w:ind w:left="1440" w:firstLine="720"/>
      </w:pPr>
    </w:p>
    <w:p w14:paraId="59758F43" w14:textId="77777777" w:rsidR="00BA1AB1" w:rsidRDefault="00BA1AB1"/>
    <w:p w14:paraId="7C172E9F" w14:textId="050AB30F" w:rsidR="00061240" w:rsidRDefault="00061240" w:rsidP="00674211">
      <w:r>
        <w:t>Audit Results:</w:t>
      </w:r>
      <w:r>
        <w:tab/>
      </w:r>
      <w:r w:rsidR="005A5D6B">
        <w:tab/>
      </w:r>
      <w:r>
        <w:t>No Head Start findings.</w:t>
      </w:r>
    </w:p>
    <w:p w14:paraId="068402EC" w14:textId="1170BB41" w:rsidR="004E1D37" w:rsidRDefault="004E1D37" w:rsidP="00674211"/>
    <w:p w14:paraId="2CCC63D6" w14:textId="5DFEE372" w:rsidR="004E1D37" w:rsidRPr="00674211" w:rsidRDefault="004E1D37" w:rsidP="00674211">
      <w:r>
        <w:t>Focus Area One:</w:t>
      </w:r>
      <w:r w:rsidR="00727BBE">
        <w:t xml:space="preserve"> </w:t>
      </w:r>
      <w:r w:rsidR="00727BBE">
        <w:tab/>
        <w:t>No Head Start findings.</w:t>
      </w:r>
    </w:p>
    <w:p w14:paraId="206494C2" w14:textId="77777777" w:rsidR="00441B53" w:rsidRDefault="00441B53" w:rsidP="00061240">
      <w:pPr>
        <w:ind w:left="2160" w:hanging="2160"/>
      </w:pPr>
    </w:p>
    <w:p w14:paraId="4DAB87DB" w14:textId="15DF3151" w:rsidR="00441B53" w:rsidRDefault="00441B53" w:rsidP="00061240">
      <w:pPr>
        <w:ind w:left="2160" w:hanging="2160"/>
      </w:pPr>
      <w:r>
        <w:t>Personnel:</w:t>
      </w:r>
      <w:r>
        <w:tab/>
        <w:t xml:space="preserve">The average number of employees working with the Head Start program </w:t>
      </w:r>
      <w:r w:rsidR="009D28E9">
        <w:t>totals 57</w:t>
      </w:r>
      <w:r>
        <w:t>. Breakdown by position includes: 10 Teachers; 8 Home Visitors; 2</w:t>
      </w:r>
      <w:r w:rsidR="00674211">
        <w:t xml:space="preserve">1 Teacher Assistants; 8 Cooks; 8 </w:t>
      </w:r>
      <w:r w:rsidR="008145ED">
        <w:t>Program</w:t>
      </w:r>
      <w:r w:rsidR="00674211">
        <w:t xml:space="preserve"> Specialists; 2</w:t>
      </w:r>
      <w:r>
        <w:t xml:space="preserve"> Director</w:t>
      </w:r>
      <w:r w:rsidR="00674211">
        <w:t>s</w:t>
      </w:r>
      <w:r>
        <w:t>.</w:t>
      </w:r>
    </w:p>
    <w:p w14:paraId="4887AAEF" w14:textId="77777777" w:rsidR="00674211" w:rsidRDefault="00674211"/>
    <w:p w14:paraId="17B56C84" w14:textId="6AB97371" w:rsidR="00C62440" w:rsidRDefault="00970586">
      <w:r>
        <w:t>Teacher Education:</w:t>
      </w:r>
      <w:r>
        <w:tab/>
      </w:r>
      <w:r w:rsidR="00DB66F7">
        <w:t>MA/MS:</w:t>
      </w:r>
      <w:r w:rsidR="00DB66F7">
        <w:tab/>
      </w:r>
      <w:r w:rsidR="00FA02E9">
        <w:t>0</w:t>
      </w:r>
      <w:r w:rsidR="00FA25A6">
        <w:t xml:space="preserve"> Classroom Teachers</w:t>
      </w:r>
    </w:p>
    <w:p w14:paraId="2610C7B1" w14:textId="590C48ED" w:rsidR="00FA25A6" w:rsidRDefault="00FA25A6">
      <w:r>
        <w:tab/>
      </w:r>
      <w:r>
        <w:tab/>
      </w:r>
      <w:r>
        <w:tab/>
      </w:r>
      <w:r>
        <w:tab/>
      </w:r>
      <w:r>
        <w:tab/>
      </w:r>
      <w:r w:rsidR="004C46BD">
        <w:t>1</w:t>
      </w:r>
      <w:r>
        <w:t xml:space="preserve"> Home Visitors</w:t>
      </w:r>
    </w:p>
    <w:p w14:paraId="6CC98C91" w14:textId="77777777" w:rsidR="00FA25A6" w:rsidRDefault="00FA25A6">
      <w:r>
        <w:tab/>
      </w:r>
      <w:r>
        <w:tab/>
      </w:r>
      <w:r>
        <w:tab/>
      </w:r>
      <w:r>
        <w:tab/>
      </w:r>
      <w:r>
        <w:tab/>
        <w:t>4 Central Office Staff</w:t>
      </w:r>
    </w:p>
    <w:p w14:paraId="0B228A85" w14:textId="75FAF732" w:rsidR="003D2F20" w:rsidRDefault="00970586" w:rsidP="00DB66F7">
      <w:pPr>
        <w:ind w:left="1440" w:firstLine="720"/>
      </w:pPr>
      <w:r>
        <w:t>BS/BA:</w:t>
      </w:r>
      <w:r>
        <w:tab/>
      </w:r>
      <w:r w:rsidR="00F06509">
        <w:t>6</w:t>
      </w:r>
      <w:r>
        <w:t xml:space="preserve"> Classroom Teachers</w:t>
      </w:r>
      <w:r w:rsidR="00C62440">
        <w:t xml:space="preserve"> </w:t>
      </w:r>
    </w:p>
    <w:p w14:paraId="4728BCE6" w14:textId="77777777" w:rsidR="00E37D95" w:rsidRDefault="00970586">
      <w:r>
        <w:tab/>
      </w:r>
      <w:r>
        <w:tab/>
      </w:r>
      <w:r>
        <w:tab/>
      </w:r>
      <w:r>
        <w:tab/>
      </w:r>
      <w:r>
        <w:tab/>
      </w:r>
      <w:r w:rsidR="0087187B">
        <w:t xml:space="preserve">3 </w:t>
      </w:r>
      <w:r>
        <w:t>Home Visitors</w:t>
      </w:r>
    </w:p>
    <w:p w14:paraId="00E3A052" w14:textId="2FC274D4" w:rsidR="00FA25A6" w:rsidRDefault="00FA25A6">
      <w:r>
        <w:tab/>
      </w:r>
      <w:r>
        <w:tab/>
      </w:r>
      <w:r>
        <w:tab/>
      </w:r>
      <w:r>
        <w:tab/>
      </w:r>
      <w:r>
        <w:tab/>
      </w:r>
      <w:r w:rsidR="004C46BD">
        <w:t>5</w:t>
      </w:r>
      <w:r>
        <w:t xml:space="preserve"> Central Office Staff</w:t>
      </w:r>
    </w:p>
    <w:p w14:paraId="378A1852" w14:textId="2D1666C3" w:rsidR="006757B9" w:rsidRDefault="00C974BE">
      <w:r>
        <w:lastRenderedPageBreak/>
        <w:tab/>
      </w:r>
      <w:r>
        <w:tab/>
      </w:r>
      <w:r>
        <w:tab/>
        <w:t>AA/AAS:</w:t>
      </w:r>
      <w:r>
        <w:tab/>
      </w:r>
      <w:r w:rsidR="00645F51">
        <w:t>4</w:t>
      </w:r>
      <w:r w:rsidR="0087187B">
        <w:t xml:space="preserve"> </w:t>
      </w:r>
      <w:r>
        <w:t>Teacher</w:t>
      </w:r>
      <w:r w:rsidR="003E7654">
        <w:t>s</w:t>
      </w:r>
      <w:r w:rsidR="00FA25A6">
        <w:t xml:space="preserve"> </w:t>
      </w:r>
    </w:p>
    <w:p w14:paraId="47D3D3E9" w14:textId="30F50DE5" w:rsidR="00FA25A6" w:rsidRDefault="00FA25A6">
      <w:r>
        <w:tab/>
      </w:r>
      <w:r>
        <w:tab/>
      </w:r>
      <w:r>
        <w:tab/>
      </w:r>
      <w:r>
        <w:tab/>
      </w:r>
      <w:r>
        <w:tab/>
      </w:r>
      <w:r w:rsidR="00F06509">
        <w:t>1</w:t>
      </w:r>
      <w:r>
        <w:t xml:space="preserve"> Teacher Aides</w:t>
      </w:r>
    </w:p>
    <w:p w14:paraId="247579F2" w14:textId="74DA7CA0" w:rsidR="006757B9" w:rsidRDefault="003E7654">
      <w:r>
        <w:tab/>
      </w:r>
      <w:r>
        <w:tab/>
      </w:r>
      <w:r>
        <w:tab/>
      </w:r>
      <w:r>
        <w:tab/>
      </w:r>
      <w:r>
        <w:tab/>
      </w:r>
      <w:r w:rsidR="00AF0B26">
        <w:t>2</w:t>
      </w:r>
      <w:r w:rsidR="006757B9">
        <w:t xml:space="preserve"> Home Visitor</w:t>
      </w:r>
    </w:p>
    <w:p w14:paraId="49D40CC2" w14:textId="77777777" w:rsidR="00FA25A6" w:rsidRPr="00FA25A6" w:rsidRDefault="00E37D95">
      <w:pPr>
        <w:rPr>
          <w:u w:val="single"/>
        </w:rPr>
      </w:pPr>
      <w:r>
        <w:tab/>
      </w:r>
      <w:r>
        <w:tab/>
      </w:r>
      <w:r>
        <w:tab/>
      </w:r>
      <w:r w:rsidR="0010536A" w:rsidRPr="00C974BE">
        <w:t>CDA:</w:t>
      </w:r>
      <w:r w:rsidR="0010536A" w:rsidRPr="00C974BE">
        <w:tab/>
      </w:r>
      <w:r w:rsidR="0010536A" w:rsidRPr="00C974BE">
        <w:tab/>
      </w:r>
      <w:r w:rsidR="00FA25A6">
        <w:rPr>
          <w:u w:val="single"/>
        </w:rPr>
        <w:t>2 Home Visitors</w:t>
      </w:r>
    </w:p>
    <w:p w14:paraId="66FA5221" w14:textId="77777777" w:rsidR="00E2464C" w:rsidRPr="00431D02" w:rsidRDefault="00970586">
      <w:pPr>
        <w:rPr>
          <w:u w:val="single"/>
        </w:rPr>
      </w:pPr>
      <w:r>
        <w:tab/>
      </w:r>
      <w:r>
        <w:tab/>
      </w:r>
      <w:r>
        <w:tab/>
      </w:r>
      <w:r w:rsidR="00DD0B34">
        <w:tab/>
      </w:r>
      <w:r w:rsidR="00DD0B34">
        <w:tab/>
      </w:r>
    </w:p>
    <w:p w14:paraId="2C2DAC28" w14:textId="77777777" w:rsidR="00431D02" w:rsidRDefault="00431D02">
      <w:r>
        <w:tab/>
      </w:r>
      <w:r>
        <w:tab/>
      </w:r>
      <w:r>
        <w:tab/>
        <w:t>Total:</w:t>
      </w:r>
      <w:r>
        <w:tab/>
      </w:r>
      <w:r>
        <w:tab/>
      </w:r>
      <w:r w:rsidR="00FA25A6">
        <w:t>10</w:t>
      </w:r>
      <w:r>
        <w:t xml:space="preserve"> Classroom Teachers</w:t>
      </w:r>
      <w:r w:rsidR="003E7654">
        <w:t xml:space="preserve"> </w:t>
      </w:r>
    </w:p>
    <w:p w14:paraId="6F325125" w14:textId="77777777" w:rsidR="00431D02" w:rsidRDefault="00431D02">
      <w:r>
        <w:tab/>
      </w:r>
      <w:r>
        <w:tab/>
      </w:r>
      <w:r>
        <w:tab/>
      </w:r>
      <w:r>
        <w:tab/>
      </w:r>
      <w:r>
        <w:tab/>
      </w:r>
      <w:r w:rsidR="006757B9">
        <w:t>8</w:t>
      </w:r>
      <w:r w:rsidR="00DB66F7">
        <w:t xml:space="preserve"> </w:t>
      </w:r>
      <w:r>
        <w:t>Home Visitors</w:t>
      </w:r>
    </w:p>
    <w:p w14:paraId="785FF7BE" w14:textId="77777777" w:rsidR="009325A2" w:rsidRDefault="009325A2">
      <w:r>
        <w:tab/>
      </w:r>
      <w:r>
        <w:tab/>
      </w:r>
      <w:r>
        <w:tab/>
      </w:r>
      <w:r>
        <w:tab/>
      </w:r>
      <w:r>
        <w:tab/>
        <w:t>10 Central Office Staff</w:t>
      </w:r>
    </w:p>
    <w:p w14:paraId="14B0253E" w14:textId="77777777" w:rsidR="009325A2" w:rsidRDefault="009325A2"/>
    <w:p w14:paraId="449180AF" w14:textId="72FDA896" w:rsidR="00DA0139" w:rsidRDefault="002316D9" w:rsidP="003A6171">
      <w:pPr>
        <w:ind w:left="720"/>
      </w:pPr>
      <w:r>
        <w:t xml:space="preserve">NOTE: </w:t>
      </w:r>
      <w:r w:rsidR="00DA0139">
        <w:t xml:space="preserve">  </w:t>
      </w:r>
      <w:r w:rsidR="00466ACB">
        <w:t xml:space="preserve">The following staff members have a CDA (Child Development Associate) credential: </w:t>
      </w:r>
      <w:r w:rsidR="00905430">
        <w:t>8</w:t>
      </w:r>
      <w:r w:rsidR="00431D02">
        <w:t xml:space="preserve"> classroom teachers</w:t>
      </w:r>
      <w:r w:rsidR="00466ACB">
        <w:t xml:space="preserve">; </w:t>
      </w:r>
      <w:r w:rsidR="00AF0B26">
        <w:t>7</w:t>
      </w:r>
      <w:r w:rsidR="00431D02">
        <w:t xml:space="preserve"> </w:t>
      </w:r>
      <w:r w:rsidR="00FF6E90">
        <w:t>home visitors</w:t>
      </w:r>
      <w:r w:rsidR="00466ACB">
        <w:t>;</w:t>
      </w:r>
      <w:r>
        <w:t xml:space="preserve"> </w:t>
      </w:r>
      <w:r w:rsidR="006A4D57">
        <w:t>6</w:t>
      </w:r>
      <w:r>
        <w:t xml:space="preserve"> </w:t>
      </w:r>
      <w:r w:rsidR="00FF6E90">
        <w:t>teacher a</w:t>
      </w:r>
      <w:r>
        <w:t>ides</w:t>
      </w:r>
      <w:r w:rsidR="00E30C71">
        <w:t>;</w:t>
      </w:r>
      <w:r>
        <w:t xml:space="preserve"> </w:t>
      </w:r>
      <w:r w:rsidR="006A4D57">
        <w:t>1</w:t>
      </w:r>
      <w:r w:rsidR="00FF6E90">
        <w:t xml:space="preserve"> </w:t>
      </w:r>
      <w:r w:rsidR="006E722A">
        <w:t>cook</w:t>
      </w:r>
      <w:r w:rsidR="008C7A8C">
        <w:t xml:space="preserve">; </w:t>
      </w:r>
      <w:r w:rsidR="004A7E5C">
        <w:t>7</w:t>
      </w:r>
      <w:r>
        <w:t xml:space="preserve"> </w:t>
      </w:r>
      <w:r w:rsidR="0061397E">
        <w:t xml:space="preserve">management </w:t>
      </w:r>
      <w:r w:rsidR="00DA0139">
        <w:t xml:space="preserve">staff </w:t>
      </w:r>
      <w:r w:rsidR="0061397E">
        <w:t>members</w:t>
      </w:r>
      <w:r w:rsidR="00466ACB">
        <w:t xml:space="preserve">. </w:t>
      </w:r>
      <w:r w:rsidR="00C974BE" w:rsidRPr="0064388C">
        <w:t>Several</w:t>
      </w:r>
      <w:r w:rsidR="002C7B9D">
        <w:t xml:space="preserve"> employee</w:t>
      </w:r>
      <w:r w:rsidR="00C974BE">
        <w:t>s</w:t>
      </w:r>
      <w:r w:rsidR="003D0A52">
        <w:t xml:space="preserve"> </w:t>
      </w:r>
      <w:r w:rsidR="00C974BE">
        <w:t>are</w:t>
      </w:r>
      <w:r w:rsidR="003D0A52">
        <w:t xml:space="preserve"> </w:t>
      </w:r>
      <w:r w:rsidR="002C7B9D">
        <w:t>actively working toward a</w:t>
      </w:r>
      <w:r w:rsidR="00FF6E90">
        <w:t xml:space="preserve"> CDA </w:t>
      </w:r>
      <w:r w:rsidR="002C7B9D">
        <w:t>credential</w:t>
      </w:r>
      <w:r w:rsidR="00FA25A6">
        <w:t xml:space="preserve">. </w:t>
      </w:r>
    </w:p>
    <w:p w14:paraId="06FF9532" w14:textId="77777777" w:rsidR="00A77110" w:rsidRDefault="00A77110" w:rsidP="003A6171">
      <w:pPr>
        <w:ind w:left="720"/>
      </w:pPr>
    </w:p>
    <w:p w14:paraId="1D028627" w14:textId="77777777" w:rsidR="009E27A1" w:rsidRDefault="009E27A1" w:rsidP="003A6171">
      <w:pPr>
        <w:ind w:left="720"/>
      </w:pPr>
    </w:p>
    <w:p w14:paraId="04E15213" w14:textId="77777777" w:rsidR="00923173" w:rsidRDefault="00E031D5" w:rsidP="006C6313">
      <w:pPr>
        <w:ind w:left="2160" w:hanging="2160"/>
      </w:pPr>
      <w:r w:rsidRPr="00C523AD">
        <w:t>Enrollment:</w:t>
      </w:r>
    </w:p>
    <w:p w14:paraId="53165674" w14:textId="77CBD9E9" w:rsidR="00923173" w:rsidRPr="00923173" w:rsidRDefault="00923173" w:rsidP="00923173">
      <w:pPr>
        <w:ind w:left="2160" w:hanging="2160"/>
      </w:pPr>
      <w:r>
        <w:tab/>
      </w:r>
      <w:r w:rsidRPr="00923173">
        <w:t>T</w:t>
      </w:r>
      <w:r>
        <w:t>he selection criteria for 202</w:t>
      </w:r>
      <w:r w:rsidR="00995A6D">
        <w:t>2</w:t>
      </w:r>
      <w:r w:rsidR="007C7867">
        <w:t>-202</w:t>
      </w:r>
      <w:r w:rsidR="00995A6D">
        <w:t>3</w:t>
      </w:r>
      <w:r w:rsidR="00945C8F">
        <w:t xml:space="preserve"> </w:t>
      </w:r>
      <w:r>
        <w:t>w</w:t>
      </w:r>
      <w:r w:rsidR="00F35BAE">
        <w:t xml:space="preserve">as reviewed </w:t>
      </w:r>
      <w:r w:rsidR="00C271E3">
        <w:t>and remained the same</w:t>
      </w:r>
      <w:r w:rsidR="0059466A">
        <w:t>. The NCMC B</w:t>
      </w:r>
      <w:r>
        <w:t xml:space="preserve">oard </w:t>
      </w:r>
      <w:r w:rsidRPr="00923173">
        <w:t xml:space="preserve">approved </w:t>
      </w:r>
      <w:r w:rsidR="0059466A">
        <w:t xml:space="preserve">the Selection Criteria </w:t>
      </w:r>
      <w:r w:rsidRPr="00923173">
        <w:t>on February 2</w:t>
      </w:r>
      <w:r w:rsidR="002A714F">
        <w:t>2</w:t>
      </w:r>
      <w:r w:rsidR="002548EF">
        <w:t>, 202</w:t>
      </w:r>
      <w:r w:rsidR="002A714F">
        <w:t>2</w:t>
      </w:r>
      <w:r w:rsidRPr="00923173">
        <w:t xml:space="preserve">.  </w:t>
      </w:r>
    </w:p>
    <w:p w14:paraId="1AFF78C9" w14:textId="77777777" w:rsidR="009F600A" w:rsidRDefault="00E031D5" w:rsidP="00923173">
      <w:pPr>
        <w:ind w:left="2160" w:hanging="2160"/>
      </w:pPr>
      <w:r>
        <w:tab/>
      </w:r>
    </w:p>
    <w:p w14:paraId="55C965EC" w14:textId="7031858D" w:rsidR="00B42896" w:rsidRPr="00443143" w:rsidRDefault="00A4069E" w:rsidP="00B42896">
      <w:pPr>
        <w:ind w:left="2160"/>
        <w:rPr>
          <w:color w:val="FF0000"/>
        </w:rPr>
      </w:pPr>
      <w:r>
        <w:t>Green Hills Head Start is funded to e</w:t>
      </w:r>
      <w:r w:rsidR="00D95EB8">
        <w:t xml:space="preserve">nroll </w:t>
      </w:r>
      <w:r w:rsidR="002833F0">
        <w:t>188</w:t>
      </w:r>
      <w:r w:rsidR="00D95EB8">
        <w:t xml:space="preserve"> Preschool Head Start s</w:t>
      </w:r>
      <w:r>
        <w:t>t</w:t>
      </w:r>
      <w:r w:rsidR="00D95EB8">
        <w:t xml:space="preserve">udents and </w:t>
      </w:r>
      <w:r w:rsidR="002833F0">
        <w:t>39</w:t>
      </w:r>
      <w:r w:rsidR="00D95EB8">
        <w:t xml:space="preserve"> Early Head Start s</w:t>
      </w:r>
      <w:r>
        <w:t xml:space="preserve">tudents.  </w:t>
      </w:r>
      <w:r w:rsidR="002833F0" w:rsidRPr="00B65F1B">
        <w:t>Due to COVID 19, t</w:t>
      </w:r>
      <w:r w:rsidRPr="00B65F1B">
        <w:t xml:space="preserve">he program </w:t>
      </w:r>
      <w:r w:rsidR="002833F0" w:rsidRPr="00B65F1B">
        <w:t xml:space="preserve">struggled to meet </w:t>
      </w:r>
      <w:r w:rsidRPr="00B65F1B">
        <w:t xml:space="preserve">full enrollment </w:t>
      </w:r>
      <w:r w:rsidR="002833F0" w:rsidRPr="00B65F1B">
        <w:t xml:space="preserve">and completed the </w:t>
      </w:r>
      <w:r w:rsidR="006E5EF7" w:rsidRPr="00B65F1B">
        <w:t>202</w:t>
      </w:r>
      <w:r w:rsidR="00443143" w:rsidRPr="00B65F1B">
        <w:t>1</w:t>
      </w:r>
      <w:r w:rsidR="006E5EF7" w:rsidRPr="00B65F1B">
        <w:t>-202</w:t>
      </w:r>
      <w:r w:rsidR="00FB5806" w:rsidRPr="00B65F1B">
        <w:t>2</w:t>
      </w:r>
      <w:r w:rsidR="006E5EF7" w:rsidRPr="00B65F1B">
        <w:t xml:space="preserve"> </w:t>
      </w:r>
      <w:r w:rsidR="004D4F39" w:rsidRPr="00B65F1B">
        <w:t xml:space="preserve">school year </w:t>
      </w:r>
      <w:r w:rsidR="002833F0" w:rsidRPr="00B65F1B">
        <w:t xml:space="preserve">with </w:t>
      </w:r>
      <w:r w:rsidR="00B65F1B" w:rsidRPr="00B65F1B">
        <w:t>10</w:t>
      </w:r>
      <w:r w:rsidR="002833F0" w:rsidRPr="00B65F1B">
        <w:t xml:space="preserve"> slots not filled.  </w:t>
      </w:r>
      <w:r w:rsidR="00206D00" w:rsidRPr="00B65F1B">
        <w:t>At the end of our school year</w:t>
      </w:r>
      <w:r w:rsidR="000604C7" w:rsidRPr="00B65F1B">
        <w:t>,</w:t>
      </w:r>
      <w:r w:rsidR="00206D00" w:rsidRPr="00B65F1B">
        <w:t xml:space="preserve"> we had enrolled</w:t>
      </w:r>
      <w:r w:rsidR="00B40E85" w:rsidRPr="00B65F1B">
        <w:t xml:space="preserve"> </w:t>
      </w:r>
      <w:r w:rsidR="00025050" w:rsidRPr="00B65F1B">
        <w:t>13</w:t>
      </w:r>
      <w:r w:rsidR="00B65F1B" w:rsidRPr="00B65F1B">
        <w:t>1</w:t>
      </w:r>
      <w:r w:rsidR="00025050" w:rsidRPr="00B65F1B">
        <w:t xml:space="preserve"> </w:t>
      </w:r>
      <w:r w:rsidRPr="00B65F1B">
        <w:t xml:space="preserve">Center Based preschool students, </w:t>
      </w:r>
      <w:r w:rsidR="00B65F1B" w:rsidRPr="00B65F1B">
        <w:t>49</w:t>
      </w:r>
      <w:r w:rsidRPr="00B65F1B">
        <w:t xml:space="preserve"> Home Base students and </w:t>
      </w:r>
      <w:r w:rsidR="00206D00" w:rsidRPr="00B65F1B">
        <w:t>37</w:t>
      </w:r>
      <w:r w:rsidRPr="00B65F1B">
        <w:t xml:space="preserve"> EHS students</w:t>
      </w:r>
      <w:r w:rsidR="000604C7" w:rsidRPr="00B65F1B">
        <w:t xml:space="preserve">.  </w:t>
      </w:r>
      <w:r w:rsidRPr="00B65F1B">
        <w:t xml:space="preserve">  </w:t>
      </w:r>
    </w:p>
    <w:p w14:paraId="0D92B243" w14:textId="3B0634C2" w:rsidR="00A4069E" w:rsidRDefault="00A4069E" w:rsidP="00E47156"/>
    <w:p w14:paraId="5004035D" w14:textId="77777777" w:rsidR="00F37614" w:rsidRDefault="00F37614" w:rsidP="0023551C">
      <w:pPr>
        <w:ind w:left="2160"/>
      </w:pPr>
    </w:p>
    <w:p w14:paraId="670ED539" w14:textId="19315751" w:rsidR="00C06F5B" w:rsidRDefault="00A66885" w:rsidP="00F52DA3">
      <w:r>
        <w:t>Head Start</w:t>
      </w:r>
    </w:p>
    <w:p w14:paraId="6656BF9A" w14:textId="69E712D0" w:rsidR="00343CE1" w:rsidRPr="000A2D54" w:rsidRDefault="00343CE1" w:rsidP="00343CE1">
      <w:pPr>
        <w:ind w:left="2160"/>
      </w:pPr>
      <w:r w:rsidRPr="00EB500E">
        <w:t xml:space="preserve">By the end of </w:t>
      </w:r>
      <w:r w:rsidR="00B60CEC" w:rsidRPr="00EB500E">
        <w:t>our school year (</w:t>
      </w:r>
      <w:r w:rsidR="005B20E8">
        <w:t xml:space="preserve">May </w:t>
      </w:r>
      <w:r w:rsidRPr="00EB500E">
        <w:t>202</w:t>
      </w:r>
      <w:r w:rsidR="00E47156" w:rsidRPr="00EB500E">
        <w:t>2</w:t>
      </w:r>
      <w:r w:rsidR="00B60CEC" w:rsidRPr="00EB500E">
        <w:t>)</w:t>
      </w:r>
      <w:r w:rsidRPr="00EB500E">
        <w:t xml:space="preserve"> </w:t>
      </w:r>
      <w:r w:rsidR="00981549" w:rsidRPr="00EB500E">
        <w:t>247</w:t>
      </w:r>
      <w:r w:rsidRPr="00EB500E">
        <w:t xml:space="preserve"> Head Start applications were submitted. Of those applications</w:t>
      </w:r>
      <w:r w:rsidRPr="000A2D54">
        <w:t xml:space="preserve">, </w:t>
      </w:r>
      <w:r w:rsidR="00B17261" w:rsidRPr="000A2D54">
        <w:t>4</w:t>
      </w:r>
      <w:r w:rsidRPr="000A2D54">
        <w:t xml:space="preserve"> were abandoned prior to classes/home visits.  </w:t>
      </w:r>
    </w:p>
    <w:p w14:paraId="17DD08AF" w14:textId="77777777" w:rsidR="004D2581" w:rsidRDefault="00213CEC" w:rsidP="00BD1B0B">
      <w:pPr>
        <w:ind w:left="2160"/>
      </w:pPr>
      <w:r w:rsidRPr="006D573F">
        <w:t xml:space="preserve">Of the </w:t>
      </w:r>
      <w:r w:rsidR="00FC18D3" w:rsidRPr="006D573F">
        <w:t>202</w:t>
      </w:r>
      <w:r w:rsidR="00F17074" w:rsidRPr="006D573F">
        <w:t>1</w:t>
      </w:r>
      <w:r w:rsidR="00FC18D3" w:rsidRPr="006D573F">
        <w:t>-20</w:t>
      </w:r>
      <w:r w:rsidR="00F17074" w:rsidRPr="006D573F">
        <w:t>22</w:t>
      </w:r>
      <w:r w:rsidR="00EA0F0C" w:rsidRPr="006D573F">
        <w:t xml:space="preserve"> accepted/cumulative enrollment list for Head Start</w:t>
      </w:r>
      <w:r w:rsidR="00521442" w:rsidRPr="006D573F">
        <w:t xml:space="preserve"> data indicated</w:t>
      </w:r>
      <w:r w:rsidRPr="006D573F">
        <w:t xml:space="preserve"> </w:t>
      </w:r>
    </w:p>
    <w:p w14:paraId="3A452AA4" w14:textId="7AB07D0F" w:rsidR="004D2581" w:rsidRDefault="005005C6" w:rsidP="004D2581">
      <w:pPr>
        <w:pStyle w:val="ListParagraph"/>
        <w:numPr>
          <w:ilvl w:val="0"/>
          <w:numId w:val="14"/>
        </w:numPr>
      </w:pPr>
      <w:r w:rsidRPr="006D573F">
        <w:t>6</w:t>
      </w:r>
      <w:r w:rsidR="002A0150" w:rsidRPr="006D573F">
        <w:t>7</w:t>
      </w:r>
      <w:r w:rsidR="007014A4" w:rsidRPr="006D573F">
        <w:t>%</w:t>
      </w:r>
      <w:r w:rsidR="00213CEC" w:rsidRPr="006D573F">
        <w:t xml:space="preserve"> </w:t>
      </w:r>
      <w:proofErr w:type="gramStart"/>
      <w:r w:rsidR="00213CEC" w:rsidRPr="006D573F">
        <w:t>low</w:t>
      </w:r>
      <w:proofErr w:type="gramEnd"/>
      <w:r w:rsidR="00213CEC" w:rsidRPr="006D573F">
        <w:t>-income families</w:t>
      </w:r>
      <w:r w:rsidR="00BB75CD">
        <w:t>.</w:t>
      </w:r>
      <w:r w:rsidR="00213CEC" w:rsidRPr="006D573F">
        <w:t xml:space="preserve"> </w:t>
      </w:r>
    </w:p>
    <w:p w14:paraId="2D27C28D" w14:textId="164F6724" w:rsidR="004D2581" w:rsidRDefault="002A0150" w:rsidP="004D2581">
      <w:pPr>
        <w:pStyle w:val="ListParagraph"/>
        <w:numPr>
          <w:ilvl w:val="0"/>
          <w:numId w:val="14"/>
        </w:numPr>
      </w:pPr>
      <w:r w:rsidRPr="006D573F">
        <w:t>8</w:t>
      </w:r>
      <w:r w:rsidR="00EA0F0C" w:rsidRPr="006D573F">
        <w:t xml:space="preserve">% </w:t>
      </w:r>
      <w:proofErr w:type="gramStart"/>
      <w:r w:rsidR="00EA0F0C" w:rsidRPr="006D573F">
        <w:t>familie</w:t>
      </w:r>
      <w:r w:rsidR="00213CEC" w:rsidRPr="006D573F">
        <w:t>s receiving</w:t>
      </w:r>
      <w:proofErr w:type="gramEnd"/>
      <w:r w:rsidR="00213CEC" w:rsidRPr="006D573F">
        <w:t xml:space="preserve"> public assistance</w:t>
      </w:r>
      <w:r w:rsidR="00BB75CD">
        <w:t>.</w:t>
      </w:r>
    </w:p>
    <w:p w14:paraId="6AED75DD" w14:textId="21001E36" w:rsidR="00D45486" w:rsidRDefault="00460606" w:rsidP="004D2581">
      <w:pPr>
        <w:pStyle w:val="ListParagraph"/>
        <w:numPr>
          <w:ilvl w:val="0"/>
          <w:numId w:val="14"/>
        </w:numPr>
      </w:pPr>
      <w:r w:rsidRPr="006D573F">
        <w:t>12</w:t>
      </w:r>
      <w:r w:rsidR="00EA0F0C" w:rsidRPr="006D573F">
        <w:t xml:space="preserve">% </w:t>
      </w:r>
      <w:proofErr w:type="gramStart"/>
      <w:r w:rsidR="00EA0F0C" w:rsidRPr="006D573F">
        <w:t>families</w:t>
      </w:r>
      <w:proofErr w:type="gramEnd"/>
      <w:r w:rsidR="00EA0F0C" w:rsidRPr="006D573F">
        <w:t xml:space="preserve"> with incomes </w:t>
      </w:r>
      <w:r w:rsidRPr="006D573F">
        <w:t>in the 101-130% poverty range</w:t>
      </w:r>
      <w:r w:rsidR="00BB75CD">
        <w:t>.</w:t>
      </w:r>
      <w:r w:rsidRPr="006D573F">
        <w:t xml:space="preserve"> </w:t>
      </w:r>
    </w:p>
    <w:p w14:paraId="607163D0" w14:textId="6B64DBB6" w:rsidR="00D45486" w:rsidRDefault="003A35DA" w:rsidP="004D2581">
      <w:pPr>
        <w:pStyle w:val="ListParagraph"/>
        <w:numPr>
          <w:ilvl w:val="0"/>
          <w:numId w:val="14"/>
        </w:numPr>
      </w:pPr>
      <w:r w:rsidRPr="006D573F">
        <w:t>8</w:t>
      </w:r>
      <w:r w:rsidR="00460606" w:rsidRPr="006D573F">
        <w:t>% foster families</w:t>
      </w:r>
      <w:r w:rsidR="00BB75CD">
        <w:t>.</w:t>
      </w:r>
      <w:r w:rsidR="00460606" w:rsidRPr="006D573F">
        <w:t xml:space="preserve"> </w:t>
      </w:r>
    </w:p>
    <w:p w14:paraId="6DFAC0C5" w14:textId="1FFD7C8A" w:rsidR="00D45486" w:rsidRDefault="003A35DA" w:rsidP="004D2581">
      <w:pPr>
        <w:pStyle w:val="ListParagraph"/>
        <w:numPr>
          <w:ilvl w:val="0"/>
          <w:numId w:val="14"/>
        </w:numPr>
      </w:pPr>
      <w:r w:rsidRPr="006D573F">
        <w:t>1</w:t>
      </w:r>
      <w:r w:rsidR="00460606" w:rsidRPr="006D573F">
        <w:t xml:space="preserve">% </w:t>
      </w:r>
      <w:proofErr w:type="gramStart"/>
      <w:r w:rsidR="00460606" w:rsidRPr="006D573F">
        <w:t>homeless</w:t>
      </w:r>
      <w:proofErr w:type="gramEnd"/>
      <w:r w:rsidR="00460606" w:rsidRPr="006D573F">
        <w:t xml:space="preserve"> families</w:t>
      </w:r>
      <w:r w:rsidR="00BB75CD">
        <w:t>.</w:t>
      </w:r>
      <w:r w:rsidR="00460606" w:rsidRPr="006D573F">
        <w:t xml:space="preserve"> </w:t>
      </w:r>
    </w:p>
    <w:p w14:paraId="012C9D37" w14:textId="3236E018" w:rsidR="00D45486" w:rsidRDefault="00460606" w:rsidP="004D2581">
      <w:pPr>
        <w:pStyle w:val="ListParagraph"/>
        <w:numPr>
          <w:ilvl w:val="0"/>
          <w:numId w:val="14"/>
        </w:numPr>
      </w:pPr>
      <w:r w:rsidRPr="006D573F">
        <w:t xml:space="preserve"> </w:t>
      </w:r>
      <w:r w:rsidR="003A35DA" w:rsidRPr="006D573F">
        <w:t>4</w:t>
      </w:r>
      <w:r w:rsidR="00EA0F0C" w:rsidRPr="006D573F">
        <w:t>% over-income families</w:t>
      </w:r>
      <w:r w:rsidR="00BB75CD">
        <w:t>.</w:t>
      </w:r>
      <w:r w:rsidR="00EA0F0C" w:rsidRPr="006D573F">
        <w:t xml:space="preserve"> </w:t>
      </w:r>
    </w:p>
    <w:p w14:paraId="7B0C3006" w14:textId="77777777" w:rsidR="00D45486" w:rsidRDefault="00D45486" w:rsidP="00D45486"/>
    <w:p w14:paraId="400A78A0" w14:textId="77777777" w:rsidR="00302189" w:rsidRDefault="00E618F8" w:rsidP="00D45486">
      <w:pPr>
        <w:ind w:left="2160"/>
      </w:pPr>
      <w:r w:rsidRPr="003E726C">
        <w:t>Percentages</w:t>
      </w:r>
      <w:r w:rsidR="00521442" w:rsidRPr="003E726C">
        <w:t xml:space="preserve"> by age included</w:t>
      </w:r>
      <w:r w:rsidR="003247B9" w:rsidRPr="003E726C">
        <w:t xml:space="preserve">: </w:t>
      </w:r>
    </w:p>
    <w:p w14:paraId="50FE97B5" w14:textId="6F6F8149" w:rsidR="00302189" w:rsidRDefault="00B56F79" w:rsidP="00302189">
      <w:pPr>
        <w:pStyle w:val="ListParagraph"/>
        <w:numPr>
          <w:ilvl w:val="0"/>
          <w:numId w:val="15"/>
        </w:numPr>
      </w:pPr>
      <w:r w:rsidRPr="003E726C">
        <w:t>91</w:t>
      </w:r>
      <w:r w:rsidR="00E618F8" w:rsidRPr="003E726C">
        <w:t>%</w:t>
      </w:r>
      <w:r w:rsidR="003247B9" w:rsidRPr="003E726C">
        <w:t xml:space="preserve"> </w:t>
      </w:r>
      <w:proofErr w:type="gramStart"/>
      <w:r w:rsidR="003247B9" w:rsidRPr="003E726C">
        <w:t>children-ages</w:t>
      </w:r>
      <w:proofErr w:type="gramEnd"/>
      <w:r w:rsidR="003247B9" w:rsidRPr="003E726C">
        <w:t xml:space="preserve"> 4 and older</w:t>
      </w:r>
      <w:r w:rsidR="00BB75CD">
        <w:t>.</w:t>
      </w:r>
      <w:r w:rsidR="003247B9" w:rsidRPr="003E726C">
        <w:t xml:space="preserve"> </w:t>
      </w:r>
    </w:p>
    <w:p w14:paraId="1CA88C48" w14:textId="0E3E9B3C" w:rsidR="00302189" w:rsidRDefault="003E726C" w:rsidP="00302189">
      <w:pPr>
        <w:pStyle w:val="ListParagraph"/>
        <w:numPr>
          <w:ilvl w:val="0"/>
          <w:numId w:val="15"/>
        </w:numPr>
      </w:pPr>
      <w:r w:rsidRPr="003E726C">
        <w:t>9</w:t>
      </w:r>
      <w:r w:rsidR="00E618F8" w:rsidRPr="003E726C">
        <w:t>%</w:t>
      </w:r>
      <w:r w:rsidR="003247B9" w:rsidRPr="003E726C">
        <w:t xml:space="preserve"> </w:t>
      </w:r>
      <w:proofErr w:type="gramStart"/>
      <w:r w:rsidR="003247B9" w:rsidRPr="003E726C">
        <w:t>children</w:t>
      </w:r>
      <w:proofErr w:type="gramEnd"/>
      <w:r w:rsidR="003247B9" w:rsidRPr="003E726C">
        <w:t xml:space="preserve"> ages 3-4</w:t>
      </w:r>
      <w:r w:rsidR="00BB75CD">
        <w:t>.</w:t>
      </w:r>
      <w:r w:rsidR="008247DE" w:rsidRPr="003E726C">
        <w:t xml:space="preserve"> </w:t>
      </w:r>
    </w:p>
    <w:p w14:paraId="3F16E684" w14:textId="4EF25652" w:rsidR="001D42CC" w:rsidRPr="003E726C" w:rsidRDefault="003E726C" w:rsidP="00302189">
      <w:pPr>
        <w:pStyle w:val="ListParagraph"/>
        <w:numPr>
          <w:ilvl w:val="0"/>
          <w:numId w:val="15"/>
        </w:numPr>
      </w:pPr>
      <w:r w:rsidRPr="003E726C">
        <w:t>4</w:t>
      </w:r>
      <w:r w:rsidR="008247DE" w:rsidRPr="003E726C">
        <w:t>% Transfer from EHS</w:t>
      </w:r>
      <w:r w:rsidR="00302189">
        <w:t xml:space="preserve"> to HS</w:t>
      </w:r>
      <w:r w:rsidR="008247DE" w:rsidRPr="003E726C">
        <w:t xml:space="preserve">.  </w:t>
      </w:r>
    </w:p>
    <w:p w14:paraId="1755E77F" w14:textId="559EB6F2" w:rsidR="00286F21" w:rsidRPr="003E726C" w:rsidRDefault="00286F21" w:rsidP="00BD1B0B">
      <w:pPr>
        <w:ind w:left="2160"/>
      </w:pPr>
    </w:p>
    <w:p w14:paraId="6C9624A0" w14:textId="77777777" w:rsidR="009A11EF" w:rsidRPr="004525D8" w:rsidRDefault="009A11EF" w:rsidP="00E36B76">
      <w:pPr>
        <w:rPr>
          <w:color w:val="FF0000"/>
        </w:rPr>
      </w:pPr>
    </w:p>
    <w:p w14:paraId="570803B0" w14:textId="77777777" w:rsidR="009A11EF" w:rsidRDefault="009A11EF" w:rsidP="009A11EF">
      <w:pPr>
        <w:jc w:val="center"/>
      </w:pPr>
      <w:r>
        <w:rPr>
          <w:noProof/>
        </w:rPr>
        <w:lastRenderedPageBreak/>
        <w:drawing>
          <wp:inline distT="0" distB="0" distL="0" distR="0" wp14:anchorId="0DC31D59" wp14:editId="7D71FBD1">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8250A0" w14:textId="77777777" w:rsidR="009A11EF" w:rsidRDefault="009A11EF" w:rsidP="00BD1B0B">
      <w:pPr>
        <w:ind w:left="2160"/>
      </w:pPr>
    </w:p>
    <w:p w14:paraId="664A4B5B" w14:textId="77777777" w:rsidR="00286F21" w:rsidRDefault="00286F21" w:rsidP="001A0E52">
      <w:pPr>
        <w:ind w:left="2160"/>
      </w:pPr>
    </w:p>
    <w:p w14:paraId="33D60F19" w14:textId="77777777" w:rsidR="00286F21" w:rsidRDefault="00286F21" w:rsidP="001A0E52">
      <w:pPr>
        <w:ind w:left="2160"/>
      </w:pPr>
    </w:p>
    <w:p w14:paraId="3AC64319" w14:textId="77777777" w:rsidR="00286F21" w:rsidRDefault="00286F21" w:rsidP="001A0E52">
      <w:pPr>
        <w:ind w:left="2160"/>
      </w:pPr>
    </w:p>
    <w:p w14:paraId="6C1E1745" w14:textId="51D68239" w:rsidR="00286F21" w:rsidRDefault="00A66885" w:rsidP="00A66885">
      <w:r>
        <w:t>Early Head Start</w:t>
      </w:r>
    </w:p>
    <w:p w14:paraId="38E38530" w14:textId="77777777" w:rsidR="002F3C9E" w:rsidRDefault="00237D26" w:rsidP="00DC637A">
      <w:pPr>
        <w:ind w:left="2160"/>
      </w:pPr>
      <w:r w:rsidRPr="009E2B02">
        <w:t xml:space="preserve">Early Head Start </w:t>
      </w:r>
      <w:r w:rsidR="00DC2F5C" w:rsidRPr="009E2B02">
        <w:t xml:space="preserve">applications totaled </w:t>
      </w:r>
      <w:r w:rsidR="00363574" w:rsidRPr="009E2B02">
        <w:t>82</w:t>
      </w:r>
      <w:r w:rsidRPr="009E2B02">
        <w:t>.  Of those applications, 1</w:t>
      </w:r>
      <w:r w:rsidR="006173D4" w:rsidRPr="009E2B02">
        <w:t>6</w:t>
      </w:r>
      <w:r w:rsidRPr="009E2B02">
        <w:t xml:space="preserve"> were abandoned prior to classes/home visits.  </w:t>
      </w:r>
    </w:p>
    <w:p w14:paraId="45E20EFD" w14:textId="76C132DC" w:rsidR="002F3C9E" w:rsidRDefault="002C6CBE" w:rsidP="00DC637A">
      <w:pPr>
        <w:ind w:left="2160"/>
      </w:pPr>
      <w:r w:rsidRPr="009E2B02">
        <w:t>T</w:t>
      </w:r>
      <w:r w:rsidR="005E24A3" w:rsidRPr="009E2B02">
        <w:t>he 202</w:t>
      </w:r>
      <w:r w:rsidR="0086788A" w:rsidRPr="009E2B02">
        <w:t>1</w:t>
      </w:r>
      <w:r w:rsidR="005E24A3" w:rsidRPr="009E2B02">
        <w:t>-202</w:t>
      </w:r>
      <w:r w:rsidR="0086788A" w:rsidRPr="009E2B02">
        <w:t>2</w:t>
      </w:r>
      <w:r w:rsidR="005E24A3" w:rsidRPr="009E2B02">
        <w:t xml:space="preserve"> accepted/</w:t>
      </w:r>
      <w:r w:rsidR="00DC637A" w:rsidRPr="009E2B02">
        <w:t>cumulative</w:t>
      </w:r>
      <w:r w:rsidR="001A0E52" w:rsidRPr="009E2B02">
        <w:t xml:space="preserve"> enrollment list for </w:t>
      </w:r>
      <w:r w:rsidR="002C4AA0" w:rsidRPr="009E2B02">
        <w:t xml:space="preserve">Early </w:t>
      </w:r>
      <w:r w:rsidR="001A0E52" w:rsidRPr="009E2B02">
        <w:t xml:space="preserve">Head Start, </w:t>
      </w:r>
      <w:r w:rsidR="002C11DB" w:rsidRPr="009E2B02">
        <w:t>August</w:t>
      </w:r>
      <w:r w:rsidR="001A0E52" w:rsidRPr="009E2B02">
        <w:t xml:space="preserve"> 202</w:t>
      </w:r>
      <w:r w:rsidR="00606598" w:rsidRPr="009E2B02">
        <w:t>2</w:t>
      </w:r>
      <w:r w:rsidR="001A0E52" w:rsidRPr="009E2B02">
        <w:t xml:space="preserve"> data indicated</w:t>
      </w:r>
      <w:r w:rsidR="00BB75CD">
        <w:t>:</w:t>
      </w:r>
      <w:r w:rsidR="001A0E52" w:rsidRPr="009E2B02">
        <w:t xml:space="preserve"> </w:t>
      </w:r>
    </w:p>
    <w:p w14:paraId="0AFA2789" w14:textId="125F8D6C" w:rsidR="002F3C9E" w:rsidRDefault="00606598" w:rsidP="002F3C9E">
      <w:pPr>
        <w:pStyle w:val="ListParagraph"/>
        <w:numPr>
          <w:ilvl w:val="0"/>
          <w:numId w:val="16"/>
        </w:numPr>
      </w:pPr>
      <w:r w:rsidRPr="009E2B02">
        <w:t>72</w:t>
      </w:r>
      <w:r w:rsidR="001A0E52" w:rsidRPr="009E2B02">
        <w:t xml:space="preserve">% </w:t>
      </w:r>
      <w:proofErr w:type="gramStart"/>
      <w:r w:rsidR="001A0E52" w:rsidRPr="009E2B02">
        <w:t>low</w:t>
      </w:r>
      <w:proofErr w:type="gramEnd"/>
      <w:r w:rsidR="001A0E52" w:rsidRPr="009E2B02">
        <w:t>-income families</w:t>
      </w:r>
      <w:r w:rsidR="00BB75CD">
        <w:t>.</w:t>
      </w:r>
    </w:p>
    <w:p w14:paraId="49CDFFB0" w14:textId="184E5FE6" w:rsidR="002F3C9E" w:rsidRDefault="00606598" w:rsidP="002F3C9E">
      <w:pPr>
        <w:pStyle w:val="ListParagraph"/>
        <w:numPr>
          <w:ilvl w:val="0"/>
          <w:numId w:val="16"/>
        </w:numPr>
      </w:pPr>
      <w:r w:rsidRPr="009E2B02">
        <w:t>4</w:t>
      </w:r>
      <w:r w:rsidR="001A0E52" w:rsidRPr="009E2B02">
        <w:t xml:space="preserve">% </w:t>
      </w:r>
      <w:proofErr w:type="gramStart"/>
      <w:r w:rsidR="001A0E52" w:rsidRPr="009E2B02">
        <w:t>families receiving</w:t>
      </w:r>
      <w:proofErr w:type="gramEnd"/>
      <w:r w:rsidR="001A0E52" w:rsidRPr="009E2B02">
        <w:t xml:space="preserve"> public assistance</w:t>
      </w:r>
      <w:r w:rsidR="00BB75CD">
        <w:t>.</w:t>
      </w:r>
      <w:r w:rsidR="008913AE" w:rsidRPr="009E2B02">
        <w:t xml:space="preserve"> </w:t>
      </w:r>
    </w:p>
    <w:p w14:paraId="1713CB1C" w14:textId="0F5FFF30" w:rsidR="002F3C9E" w:rsidRDefault="00BA173A" w:rsidP="002F3C9E">
      <w:pPr>
        <w:pStyle w:val="ListParagraph"/>
        <w:numPr>
          <w:ilvl w:val="0"/>
          <w:numId w:val="16"/>
        </w:numPr>
      </w:pPr>
      <w:r w:rsidRPr="009E2B02">
        <w:t>9</w:t>
      </w:r>
      <w:r w:rsidR="001A0E52" w:rsidRPr="009E2B02">
        <w:t xml:space="preserve">% </w:t>
      </w:r>
      <w:proofErr w:type="gramStart"/>
      <w:r w:rsidR="001A0E52" w:rsidRPr="009E2B02">
        <w:t>families</w:t>
      </w:r>
      <w:proofErr w:type="gramEnd"/>
      <w:r w:rsidR="001A0E52" w:rsidRPr="009E2B02">
        <w:t xml:space="preserve"> with incomes in the 101-130% poverty range</w:t>
      </w:r>
      <w:r w:rsidR="00BB75CD">
        <w:t>.</w:t>
      </w:r>
      <w:r w:rsidR="001A0E52" w:rsidRPr="009E2B02">
        <w:t xml:space="preserve"> </w:t>
      </w:r>
    </w:p>
    <w:p w14:paraId="24D82D26" w14:textId="0FF9F405" w:rsidR="002F3C9E" w:rsidRDefault="00BA173A" w:rsidP="002F3C9E">
      <w:pPr>
        <w:pStyle w:val="ListParagraph"/>
        <w:numPr>
          <w:ilvl w:val="0"/>
          <w:numId w:val="16"/>
        </w:numPr>
      </w:pPr>
      <w:r w:rsidRPr="009E2B02">
        <w:t>11</w:t>
      </w:r>
      <w:r w:rsidR="001A0E52" w:rsidRPr="009E2B02">
        <w:t>% foster families</w:t>
      </w:r>
      <w:r w:rsidR="00BB75CD">
        <w:t>.</w:t>
      </w:r>
    </w:p>
    <w:p w14:paraId="52DADED9" w14:textId="587A2012" w:rsidR="002F3C9E" w:rsidRDefault="00BA173A" w:rsidP="002F3C9E">
      <w:pPr>
        <w:pStyle w:val="ListParagraph"/>
        <w:numPr>
          <w:ilvl w:val="0"/>
          <w:numId w:val="16"/>
        </w:numPr>
      </w:pPr>
      <w:r w:rsidRPr="009E2B02">
        <w:t>4</w:t>
      </w:r>
      <w:r w:rsidR="001A0E52" w:rsidRPr="009E2B02">
        <w:t xml:space="preserve">% homeless families,  </w:t>
      </w:r>
    </w:p>
    <w:p w14:paraId="4228BE99" w14:textId="4CCFAA34" w:rsidR="002F3C9E" w:rsidRDefault="00BA173A" w:rsidP="002F3C9E">
      <w:pPr>
        <w:pStyle w:val="ListParagraph"/>
        <w:numPr>
          <w:ilvl w:val="0"/>
          <w:numId w:val="16"/>
        </w:numPr>
      </w:pPr>
      <w:r w:rsidRPr="009E2B02">
        <w:t>0</w:t>
      </w:r>
      <w:r w:rsidR="001A0E52" w:rsidRPr="009E2B02">
        <w:t xml:space="preserve">% over-income families. </w:t>
      </w:r>
    </w:p>
    <w:p w14:paraId="55C16AA0" w14:textId="77777777" w:rsidR="00C1336E" w:rsidRDefault="00C1336E" w:rsidP="00C1336E">
      <w:pPr>
        <w:pStyle w:val="ListParagraph"/>
        <w:ind w:left="2880"/>
      </w:pPr>
    </w:p>
    <w:p w14:paraId="61D1F943" w14:textId="77777777" w:rsidR="00A8234D" w:rsidRDefault="001A0E52" w:rsidP="00A8234D">
      <w:pPr>
        <w:ind w:left="2160"/>
      </w:pPr>
      <w:r w:rsidRPr="00A51E49">
        <w:t xml:space="preserve">Percentages by age included: </w:t>
      </w:r>
    </w:p>
    <w:p w14:paraId="7C90BE91" w14:textId="6835BA93" w:rsidR="00A8234D" w:rsidRDefault="00E772C2" w:rsidP="00A8234D">
      <w:pPr>
        <w:pStyle w:val="ListParagraph"/>
        <w:numPr>
          <w:ilvl w:val="0"/>
          <w:numId w:val="17"/>
        </w:numPr>
      </w:pPr>
      <w:r w:rsidRPr="00A51E49">
        <w:t>29</w:t>
      </w:r>
      <w:r w:rsidR="001A0E52" w:rsidRPr="00A51E49">
        <w:t xml:space="preserve">% </w:t>
      </w:r>
      <w:proofErr w:type="gramStart"/>
      <w:r w:rsidR="001A0E52" w:rsidRPr="00A51E49">
        <w:t>children-ages</w:t>
      </w:r>
      <w:proofErr w:type="gramEnd"/>
      <w:r w:rsidR="001A0E52" w:rsidRPr="00A51E49">
        <w:t xml:space="preserve"> </w:t>
      </w:r>
      <w:r w:rsidR="00A8234D" w:rsidRPr="00A51E49">
        <w:t>0-1.</w:t>
      </w:r>
      <w:r w:rsidR="001A0E52" w:rsidRPr="00A51E49">
        <w:t xml:space="preserve"> </w:t>
      </w:r>
    </w:p>
    <w:p w14:paraId="08CF3ADF" w14:textId="6783595D" w:rsidR="00A8234D" w:rsidRDefault="008A3C15" w:rsidP="00A8234D">
      <w:pPr>
        <w:pStyle w:val="ListParagraph"/>
        <w:numPr>
          <w:ilvl w:val="0"/>
          <w:numId w:val="17"/>
        </w:numPr>
      </w:pPr>
      <w:r w:rsidRPr="00A51E49">
        <w:t>3</w:t>
      </w:r>
      <w:r w:rsidR="003946C0" w:rsidRPr="00A51E49">
        <w:t>5</w:t>
      </w:r>
      <w:r w:rsidR="001A0E52" w:rsidRPr="00A51E49">
        <w:t>% children ages</w:t>
      </w:r>
      <w:r w:rsidR="006F0E23" w:rsidRPr="00A51E49">
        <w:t xml:space="preserve"> </w:t>
      </w:r>
      <w:r w:rsidR="009A0787" w:rsidRPr="00A51E49">
        <w:t>1-2</w:t>
      </w:r>
      <w:r w:rsidR="00A8234D">
        <w:t>.</w:t>
      </w:r>
      <w:r w:rsidR="001A0E52" w:rsidRPr="00A51E49">
        <w:t xml:space="preserve"> </w:t>
      </w:r>
    </w:p>
    <w:p w14:paraId="346FB508" w14:textId="57EBB6C3" w:rsidR="001A0E52" w:rsidRPr="00A51E49" w:rsidRDefault="003946C0" w:rsidP="00A8234D">
      <w:pPr>
        <w:pStyle w:val="ListParagraph"/>
        <w:numPr>
          <w:ilvl w:val="0"/>
          <w:numId w:val="17"/>
        </w:numPr>
      </w:pPr>
      <w:r w:rsidRPr="00A51E49">
        <w:t>3</w:t>
      </w:r>
      <w:r w:rsidR="00A51E49" w:rsidRPr="00A51E49">
        <w:t>6</w:t>
      </w:r>
      <w:r w:rsidR="001A0E52" w:rsidRPr="00A51E49">
        <w:t xml:space="preserve">% children ages </w:t>
      </w:r>
      <w:r w:rsidR="003D4347" w:rsidRPr="00A51E49">
        <w:t>2-3</w:t>
      </w:r>
      <w:r w:rsidR="001A0E52" w:rsidRPr="00A51E49">
        <w:t xml:space="preserve">. </w:t>
      </w:r>
    </w:p>
    <w:p w14:paraId="475BF439" w14:textId="115D4B4D" w:rsidR="009A11EF" w:rsidRPr="00A51E49" w:rsidRDefault="009A11EF" w:rsidP="00D641FF"/>
    <w:p w14:paraId="431E819E" w14:textId="045F7088" w:rsidR="00F8229A" w:rsidRPr="00A51E49" w:rsidRDefault="00F8229A" w:rsidP="00D641FF"/>
    <w:p w14:paraId="5C6CB49F" w14:textId="515A1FD6" w:rsidR="00F8229A" w:rsidRPr="00143FC0" w:rsidRDefault="00F8229A" w:rsidP="00D641FF">
      <w:pPr>
        <w:rPr>
          <w:color w:val="FF0000"/>
        </w:rPr>
      </w:pPr>
    </w:p>
    <w:p w14:paraId="09843A0D" w14:textId="444CC2EB" w:rsidR="00F8229A" w:rsidRPr="001A1AAF" w:rsidRDefault="00F8229A" w:rsidP="00D641FF">
      <w:pPr>
        <w:rPr>
          <w:outline/>
          <w:color w:val="4F81BD" w:themeColor="accent1"/>
          <w14:textOutline w14:w="9525" w14:cap="rnd" w14:cmpd="sng" w14:algn="ctr">
            <w14:solidFill>
              <w14:schemeClr w14:val="accent1"/>
            </w14:solidFill>
            <w14:prstDash w14:val="solid"/>
            <w14:bevel/>
          </w14:textOutline>
          <w14:textFill>
            <w14:noFill/>
          </w14:textFill>
        </w:rPr>
      </w:pPr>
      <w:r>
        <w:rPr>
          <w:noProof/>
        </w:rPr>
        <w:lastRenderedPageBreak/>
        <w:drawing>
          <wp:inline distT="0" distB="0" distL="0" distR="0" wp14:anchorId="4FDE8B6F" wp14:editId="08F5766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416A21" w14:textId="23917B89" w:rsidR="00F8229A" w:rsidRDefault="00F8229A" w:rsidP="00D641FF"/>
    <w:p w14:paraId="1F3D00E0" w14:textId="77777777" w:rsidR="00F8229A" w:rsidRDefault="00F8229A" w:rsidP="00D641FF"/>
    <w:p w14:paraId="2DB51057" w14:textId="77777777" w:rsidR="00355A19" w:rsidRDefault="00355A19" w:rsidP="00355A19"/>
    <w:p w14:paraId="1640A716" w14:textId="4A3DFB9D" w:rsidR="00355A19" w:rsidRDefault="00355A19" w:rsidP="00355A19">
      <w:r>
        <w:t>Monthly Report Data</w:t>
      </w:r>
      <w:r w:rsidR="00E2464C">
        <w:t>:</w:t>
      </w:r>
      <w:r w:rsidR="00D439D9">
        <w:tab/>
      </w:r>
    </w:p>
    <w:p w14:paraId="4956A36D" w14:textId="3FAA5FF6" w:rsidR="00142056" w:rsidRDefault="00142056" w:rsidP="00284956">
      <w:pPr>
        <w:ind w:left="2160"/>
      </w:pPr>
      <w:r>
        <w:t xml:space="preserve">During the </w:t>
      </w:r>
      <w:r w:rsidR="00355A19">
        <w:t>20</w:t>
      </w:r>
      <w:r w:rsidR="00B82BE2">
        <w:t>2</w:t>
      </w:r>
      <w:r w:rsidR="00143FC0">
        <w:t>1</w:t>
      </w:r>
      <w:r w:rsidR="00B82BE2">
        <w:t>-202</w:t>
      </w:r>
      <w:r w:rsidR="00143FC0">
        <w:t>2</w:t>
      </w:r>
      <w:r>
        <w:t xml:space="preserve"> school year, NCMC/Green Hills Head Start served </w:t>
      </w:r>
      <w:r w:rsidR="003A1282">
        <w:t>18</w:t>
      </w:r>
      <w:r w:rsidR="00290A22">
        <w:t>0</w:t>
      </w:r>
      <w:r w:rsidR="00715B68">
        <w:t xml:space="preserve"> Pre-K</w:t>
      </w:r>
      <w:r w:rsidRPr="000D737C">
        <w:t xml:space="preserve"> </w:t>
      </w:r>
      <w:r w:rsidR="00715B68">
        <w:t xml:space="preserve">HS </w:t>
      </w:r>
      <w:r w:rsidRPr="000D737C">
        <w:t>children</w:t>
      </w:r>
      <w:r w:rsidR="00715B68">
        <w:t xml:space="preserve"> and </w:t>
      </w:r>
      <w:r w:rsidR="00355A19">
        <w:t>3</w:t>
      </w:r>
      <w:r w:rsidR="00CD7172">
        <w:t>7</w:t>
      </w:r>
      <w:r w:rsidR="00715B68">
        <w:t xml:space="preserve"> EHS children. </w:t>
      </w:r>
      <w:r w:rsidR="00715B68" w:rsidRPr="00B5777C">
        <w:t xml:space="preserve">These children represented nearly </w:t>
      </w:r>
      <w:r w:rsidR="009F1C72">
        <w:t>73</w:t>
      </w:r>
      <w:r w:rsidR="00715B68" w:rsidRPr="00B5777C">
        <w:t xml:space="preserve">% of the total Pre-K HS applicants and </w:t>
      </w:r>
      <w:r w:rsidR="00F15BF1">
        <w:t>45</w:t>
      </w:r>
      <w:r w:rsidR="00715B68" w:rsidRPr="00B5777C">
        <w:t>% of the total EHS applicants for the school year.</w:t>
      </w:r>
      <w:r w:rsidR="00A311E0">
        <w:t xml:space="preserve">  </w:t>
      </w:r>
      <w:r w:rsidR="00B50D53">
        <w:t>Average daily attend</w:t>
      </w:r>
      <w:r w:rsidR="00A311E0">
        <w:t xml:space="preserve">ance </w:t>
      </w:r>
      <w:r w:rsidR="0063030D">
        <w:t xml:space="preserve">for </w:t>
      </w:r>
      <w:r w:rsidR="00465D07">
        <w:t>centers was 8</w:t>
      </w:r>
      <w:r w:rsidR="00700A7A">
        <w:t>2.55</w:t>
      </w:r>
      <w:r w:rsidR="00465D07">
        <w:t xml:space="preserve">%.  </w:t>
      </w:r>
      <w:r w:rsidR="00B50D53">
        <w:t xml:space="preserve"> </w:t>
      </w:r>
    </w:p>
    <w:p w14:paraId="1BC85B6D" w14:textId="77777777" w:rsidR="00142056" w:rsidRDefault="00142056" w:rsidP="00142056">
      <w:pPr>
        <w:ind w:left="2160" w:hanging="2160"/>
      </w:pPr>
    </w:p>
    <w:p w14:paraId="70681B5E" w14:textId="77777777" w:rsidR="0083711A" w:rsidRDefault="0083711A" w:rsidP="00DA0317">
      <w:pPr>
        <w:ind w:left="2160" w:hanging="2160"/>
      </w:pPr>
    </w:p>
    <w:p w14:paraId="64EEDCE2" w14:textId="2C5FDC3A" w:rsidR="00710A35" w:rsidRDefault="006611BA" w:rsidP="00FF10D8">
      <w:pPr>
        <w:ind w:left="2160" w:hanging="2160"/>
      </w:pPr>
      <w:r w:rsidRPr="00847E5D">
        <w:t>Training</w:t>
      </w:r>
      <w:r w:rsidR="0083711A">
        <w:t>:</w:t>
      </w:r>
      <w:r w:rsidR="0083711A">
        <w:tab/>
      </w:r>
      <w:r w:rsidR="00A311E0">
        <w:t xml:space="preserve">Green Hills </w:t>
      </w:r>
      <w:r w:rsidR="00FF10D8">
        <w:t xml:space="preserve">Head Start </w:t>
      </w:r>
      <w:r w:rsidR="00A311E0">
        <w:t>focused o</w:t>
      </w:r>
      <w:r w:rsidR="00F212E1">
        <w:t xml:space="preserve">n </w:t>
      </w:r>
      <w:r w:rsidR="009C241E">
        <w:t xml:space="preserve">updating the On Boarding process for new employees.  </w:t>
      </w:r>
      <w:r w:rsidR="00710A35">
        <w:t>We</w:t>
      </w:r>
      <w:r w:rsidR="009C241E">
        <w:t xml:space="preserve"> have been working to </w:t>
      </w:r>
      <w:r w:rsidR="00F677BC">
        <w:t>review and make changes to the School Readiness Goals focusing on on</w:t>
      </w:r>
      <w:r w:rsidR="001B41DF">
        <w:t xml:space="preserve">e specific goal for each area of the Head Start Early Learning Outcomes Framework.  We have been working extensively with T/TA </w:t>
      </w:r>
      <w:r w:rsidR="006724E4">
        <w:t>on these goals.</w:t>
      </w:r>
      <w:r w:rsidR="00284956">
        <w:t xml:space="preserve"> </w:t>
      </w:r>
    </w:p>
    <w:p w14:paraId="3A9CAE22" w14:textId="54393EBE" w:rsidR="00710A35" w:rsidRDefault="00710A35" w:rsidP="00710A35">
      <w:pPr>
        <w:ind w:left="2160"/>
      </w:pPr>
      <w:r>
        <w:t xml:space="preserve">All </w:t>
      </w:r>
      <w:r w:rsidR="00FF10D8">
        <w:t xml:space="preserve">staff members </w:t>
      </w:r>
      <w:r w:rsidR="00DB6188">
        <w:t xml:space="preserve">regularly </w:t>
      </w:r>
      <w:r w:rsidR="00A4069E">
        <w:t xml:space="preserve">participate in </w:t>
      </w:r>
      <w:r w:rsidR="00284956">
        <w:t xml:space="preserve">an </w:t>
      </w:r>
      <w:r w:rsidR="00FF10D8">
        <w:t xml:space="preserve">annual training schedule designed to prepare them for the comprehensive nature of their responsibilities. </w:t>
      </w:r>
      <w:r w:rsidR="00DB6188">
        <w:t xml:space="preserve">An annual professional development plan </w:t>
      </w:r>
      <w:r w:rsidR="00C26AAC">
        <w:t>wa</w:t>
      </w:r>
      <w:r w:rsidR="00DB6188">
        <w:t xml:space="preserve">s developed, reflecting (1) </w:t>
      </w:r>
      <w:r w:rsidR="001E277E">
        <w:t>requirements outlined by Head Start Program Performance Standards</w:t>
      </w:r>
      <w:r w:rsidR="00DB6188">
        <w:t xml:space="preserve"> and</w:t>
      </w:r>
      <w:r w:rsidR="001E277E">
        <w:t xml:space="preserve"> State of Missouri c</w:t>
      </w:r>
      <w:r w:rsidR="00DB6188">
        <w:t xml:space="preserve">hildcare licensing regulations and (2) evaluation of child/family assessment data, program monitoring data, </w:t>
      </w:r>
      <w:r w:rsidR="001E277E">
        <w:t xml:space="preserve">and training </w:t>
      </w:r>
      <w:r w:rsidR="00FF10D8">
        <w:t>needs assessment</w:t>
      </w:r>
      <w:r w:rsidR="00DB6188">
        <w:t xml:space="preserve"> data.</w:t>
      </w:r>
    </w:p>
    <w:p w14:paraId="27D114A3" w14:textId="5DABF5F3" w:rsidR="00FF10D8" w:rsidRDefault="00710A35" w:rsidP="00710A35">
      <w:pPr>
        <w:ind w:left="2160"/>
      </w:pPr>
      <w:r>
        <w:t>During the 20</w:t>
      </w:r>
      <w:r w:rsidR="006D484A">
        <w:t>2</w:t>
      </w:r>
      <w:r w:rsidR="003C3029">
        <w:t>1</w:t>
      </w:r>
      <w:r w:rsidR="006D484A">
        <w:t>-202</w:t>
      </w:r>
      <w:r w:rsidR="003C3029">
        <w:t>2</w:t>
      </w:r>
      <w:r>
        <w:t xml:space="preserve"> school year</w:t>
      </w:r>
      <w:r w:rsidR="006F3498">
        <w:t xml:space="preserve">, staff members </w:t>
      </w:r>
      <w:r w:rsidR="006D484A">
        <w:t>completed</w:t>
      </w:r>
      <w:r w:rsidR="006F3498">
        <w:t xml:space="preserve"> training sessions focused on curriculum, child abuse/neglect, Positive Behavior Support (PBS), child recruitment/enrollment, mental health resources, </w:t>
      </w:r>
      <w:r>
        <w:t>family engagement</w:t>
      </w:r>
      <w:r w:rsidR="008E5E88">
        <w:t xml:space="preserve">, </w:t>
      </w:r>
      <w:r w:rsidR="006F3498">
        <w:t>environmental and food safety</w:t>
      </w:r>
      <w:r w:rsidR="008E5E88">
        <w:t xml:space="preserve">, infant safe sleep/SIDS, </w:t>
      </w:r>
      <w:r w:rsidR="001222FF">
        <w:t xml:space="preserve">CACFP, prenatal </w:t>
      </w:r>
      <w:r w:rsidR="008E5E88">
        <w:t xml:space="preserve">and positive child outcomes. Professional development opportunities continue to be offered through large group sessions, local </w:t>
      </w:r>
      <w:proofErr w:type="gramStart"/>
      <w:r w:rsidR="008E5E88">
        <w:t>community of</w:t>
      </w:r>
      <w:proofErr w:type="gramEnd"/>
      <w:r w:rsidR="008E5E88">
        <w:t xml:space="preserve"> practice events, and online training</w:t>
      </w:r>
      <w:r w:rsidR="00284956">
        <w:t>s</w:t>
      </w:r>
      <w:r w:rsidR="008E5E88">
        <w:t>.</w:t>
      </w:r>
      <w:r w:rsidR="00606DDE">
        <w:t xml:space="preserve"> </w:t>
      </w:r>
    </w:p>
    <w:p w14:paraId="1B11733B" w14:textId="77777777" w:rsidR="00FF10D8" w:rsidRDefault="00FF10D8" w:rsidP="00FF10D8">
      <w:pPr>
        <w:ind w:left="2160" w:hanging="2160"/>
      </w:pPr>
      <w:r>
        <w:tab/>
      </w:r>
    </w:p>
    <w:p w14:paraId="077E52E3" w14:textId="77777777" w:rsidR="00FF10D8" w:rsidRDefault="00FF10D8" w:rsidP="00FF10D8">
      <w:pPr>
        <w:ind w:left="2160" w:hanging="2160"/>
      </w:pPr>
      <w:r>
        <w:lastRenderedPageBreak/>
        <w:tab/>
        <w:t>N</w:t>
      </w:r>
      <w:r w:rsidR="00A4069E">
        <w:t>CMC Board and Policy Council training is completed monthly during the Policy Council meetings and NCMC Board Meetings.  This training focuses on</w:t>
      </w:r>
      <w:r>
        <w:t xml:space="preserve"> Head Start regulations and procedures associated with governance responsibilities and the five-year grant. Policy Council orientation training occurs annually in Octobe</w:t>
      </w:r>
      <w:r w:rsidR="00A4069E">
        <w:t xml:space="preserve">r.  </w:t>
      </w:r>
    </w:p>
    <w:p w14:paraId="143E87A3" w14:textId="77777777" w:rsidR="00FF10D8" w:rsidRDefault="00FF10D8" w:rsidP="00FF10D8">
      <w:pPr>
        <w:ind w:left="2160" w:hanging="2160"/>
      </w:pPr>
    </w:p>
    <w:p w14:paraId="3DE64265" w14:textId="77777777" w:rsidR="00FF10D8" w:rsidRDefault="00FF10D8" w:rsidP="00FF10D8">
      <w:pPr>
        <w:ind w:left="2160" w:hanging="2160"/>
      </w:pPr>
      <w:r>
        <w:tab/>
        <w:t xml:space="preserve">Staff members </w:t>
      </w:r>
      <w:r w:rsidR="00AC73B1">
        <w:t xml:space="preserve">needing a Child Development Associate credential continue to enroll in coursework offered by North Central Missouri College, receiving financial assistance through NCMC and Head Start. Degree-seeking staff members also </w:t>
      </w:r>
      <w:r>
        <w:t>receive financial assistance with tuition, books, and fees, as funds allow. Continued formal education and life-long learning is a program priority.</w:t>
      </w:r>
    </w:p>
    <w:p w14:paraId="458DEFC9" w14:textId="77777777" w:rsidR="00AA5854" w:rsidRDefault="00D641FF" w:rsidP="00FF10D8">
      <w:pPr>
        <w:ind w:left="2160" w:hanging="2160"/>
      </w:pPr>
      <w:r>
        <w:tab/>
      </w:r>
    </w:p>
    <w:p w14:paraId="74906440" w14:textId="028CF179" w:rsidR="00B857E5" w:rsidRDefault="00D641FF" w:rsidP="00B857E5">
      <w:pPr>
        <w:ind w:left="2160"/>
      </w:pPr>
      <w:r w:rsidRPr="00F82B30">
        <w:t>Due to the COVID-19 pandemic and guidance from the CDC, Health Depts in our counties and the Office of Head Start, we are making</w:t>
      </w:r>
      <w:r w:rsidR="00F82B30">
        <w:t xml:space="preserve"> Trauma informed </w:t>
      </w:r>
      <w:r w:rsidRPr="00F82B30">
        <w:t xml:space="preserve">training a priority.  Using </w:t>
      </w:r>
      <w:r w:rsidR="001F4D27">
        <w:t>American Rescue Plan</w:t>
      </w:r>
      <w:r w:rsidRPr="00F82B30">
        <w:t xml:space="preserve"> funding, we contracted with </w:t>
      </w:r>
      <w:r w:rsidR="00F82B30">
        <w:t xml:space="preserve">Head Start </w:t>
      </w:r>
      <w:r w:rsidRPr="00F82B30">
        <w:t>Trauma Smar</w:t>
      </w:r>
      <w:r w:rsidR="00F82B30" w:rsidRPr="00F82B30">
        <w:t>t</w:t>
      </w:r>
      <w:r w:rsidR="00B857E5">
        <w:t xml:space="preserve"> </w:t>
      </w:r>
      <w:r w:rsidR="00F82B30">
        <w:t>(HSTS)</w:t>
      </w:r>
      <w:r w:rsidR="00F82B30" w:rsidRPr="00F82B30">
        <w:t xml:space="preserve"> to provide </w:t>
      </w:r>
      <w:r w:rsidR="00F942F9">
        <w:t xml:space="preserve">all staff </w:t>
      </w:r>
      <w:r w:rsidR="00F82B30" w:rsidRPr="00F82B30">
        <w:t xml:space="preserve">with a </w:t>
      </w:r>
      <w:r w:rsidR="00B857E5" w:rsidRPr="00F82B30">
        <w:t>12-month</w:t>
      </w:r>
      <w:r w:rsidRPr="00F82B30">
        <w:t xml:space="preserve"> training program</w:t>
      </w:r>
      <w:r w:rsidR="00F82B30" w:rsidRPr="00F82B30">
        <w:t xml:space="preserve">.  </w:t>
      </w:r>
      <w:r w:rsidR="00F942F9">
        <w:t xml:space="preserve">The Teachers and Home Visitors were trained over the summer </w:t>
      </w:r>
      <w:r w:rsidR="009F5D28">
        <w:t xml:space="preserve">Trauma Smart Coaching and Smart Connections which allows our program to utilize staff for </w:t>
      </w:r>
      <w:r w:rsidR="00523CCE">
        <w:t>peer-to-peer</w:t>
      </w:r>
      <w:r w:rsidR="009F5D28">
        <w:t xml:space="preserve"> coaching.  Smart Connections</w:t>
      </w:r>
      <w:r w:rsidR="0058757F">
        <w:t xml:space="preserve">, which is a Trauma informed training for </w:t>
      </w:r>
      <w:proofErr w:type="gramStart"/>
      <w:r w:rsidR="0058757F">
        <w:t>parents</w:t>
      </w:r>
      <w:proofErr w:type="gramEnd"/>
      <w:r w:rsidR="0058757F">
        <w:t xml:space="preserve"> </w:t>
      </w:r>
      <w:r w:rsidR="001302E7">
        <w:t xml:space="preserve">can now be presented by Teachers and Home Visitors who completed the training.  </w:t>
      </w:r>
    </w:p>
    <w:p w14:paraId="741865F4" w14:textId="77777777" w:rsidR="001302E7" w:rsidRDefault="001302E7" w:rsidP="00B857E5">
      <w:pPr>
        <w:ind w:left="2160"/>
      </w:pPr>
    </w:p>
    <w:p w14:paraId="7134DCB7" w14:textId="3328D03F" w:rsidR="00D641FF" w:rsidRPr="00F82B30" w:rsidRDefault="00F82B30" w:rsidP="00F82B30">
      <w:pPr>
        <w:ind w:left="2160"/>
      </w:pPr>
      <w:r>
        <w:t xml:space="preserve">HSTS </w:t>
      </w:r>
      <w:r w:rsidRPr="00F82B30">
        <w:rPr>
          <w:color w:val="050505"/>
          <w:shd w:val="clear" w:color="auto" w:fill="FFFFFF"/>
        </w:rPr>
        <w:t>is an early childhood trauma intervention model</w:t>
      </w:r>
      <w:r>
        <w:rPr>
          <w:color w:val="050505"/>
          <w:shd w:val="clear" w:color="auto" w:fill="FFFFFF"/>
        </w:rPr>
        <w:t xml:space="preserve"> created by Crittenton Children’</w:t>
      </w:r>
      <w:r w:rsidRPr="00F82B30">
        <w:rPr>
          <w:color w:val="050505"/>
          <w:shd w:val="clear" w:color="auto" w:fill="FFFFFF"/>
        </w:rPr>
        <w:t>s Center in Kansas City, MO. It is designed to support young children as well as the parents and teachers who love and care about them. HSTS promotes the development of systemic trauma awareness in Head Start communities, teaching resiliency and practical lifelong coping skills.</w:t>
      </w:r>
    </w:p>
    <w:p w14:paraId="14044B80" w14:textId="77777777" w:rsidR="000C24C7" w:rsidRDefault="000C24C7" w:rsidP="00FF10D8">
      <w:pPr>
        <w:ind w:left="2160" w:hanging="2160"/>
        <w:rPr>
          <w:sz w:val="32"/>
          <w:szCs w:val="32"/>
        </w:rPr>
      </w:pPr>
      <w:r w:rsidRPr="00AC72B2">
        <w:rPr>
          <w:sz w:val="32"/>
          <w:szCs w:val="32"/>
        </w:rPr>
        <w:t>Highlights:</w:t>
      </w:r>
    </w:p>
    <w:p w14:paraId="03D11A16" w14:textId="77777777" w:rsidR="002E7AB6" w:rsidRPr="00AC72B2" w:rsidRDefault="002E7AB6" w:rsidP="00FF10D8">
      <w:pPr>
        <w:ind w:left="2160" w:hanging="2160"/>
        <w:rPr>
          <w:sz w:val="32"/>
          <w:szCs w:val="32"/>
        </w:rPr>
      </w:pPr>
    </w:p>
    <w:p w14:paraId="07E27465" w14:textId="77777777" w:rsidR="00AC72B2" w:rsidRDefault="00C11B28" w:rsidP="00AC72B2">
      <w:r w:rsidRPr="00AC72B2">
        <w:rPr>
          <w:b/>
        </w:rPr>
        <w:t>SCHOOL READINESS:</w:t>
      </w:r>
      <w:r>
        <w:t xml:space="preserve"> </w:t>
      </w:r>
    </w:p>
    <w:p w14:paraId="1597F53A" w14:textId="71512A79" w:rsidR="00AC72B2" w:rsidRDefault="00321330" w:rsidP="00AC72B2">
      <w:pPr>
        <w:ind w:left="2160"/>
      </w:pPr>
      <w:r>
        <w:t xml:space="preserve">Child </w:t>
      </w:r>
      <w:r w:rsidR="006430CE">
        <w:t>developmental assessment</w:t>
      </w:r>
      <w:r w:rsidR="00FA25A6">
        <w:t xml:space="preserve"> results for 20</w:t>
      </w:r>
      <w:r w:rsidR="00DA62E0">
        <w:t>2</w:t>
      </w:r>
      <w:r w:rsidR="00773248">
        <w:t>1</w:t>
      </w:r>
      <w:r w:rsidR="00DA62E0">
        <w:t>-20</w:t>
      </w:r>
      <w:r w:rsidR="00773248">
        <w:t>22</w:t>
      </w:r>
      <w:r w:rsidR="009A2EDE">
        <w:t xml:space="preserve"> </w:t>
      </w:r>
      <w:r>
        <w:t>indicated child growth/progress as</w:t>
      </w:r>
      <w:r w:rsidR="00AC72B2">
        <w:t xml:space="preserve"> well as adequate scores in all</w:t>
      </w:r>
      <w:r>
        <w:t xml:space="preserve"> </w:t>
      </w:r>
      <w:r w:rsidR="006430CE">
        <w:t xml:space="preserve">assessed </w:t>
      </w:r>
      <w:r>
        <w:t xml:space="preserve">areas. </w:t>
      </w:r>
      <w:r w:rsidR="00694241">
        <w:t>Both center and home base options saw growth in social development</w:t>
      </w:r>
      <w:r w:rsidR="00AC72B2">
        <w:t xml:space="preserve"> from the previous year</w:t>
      </w:r>
      <w:r w:rsidR="00694241">
        <w:t xml:space="preserve">. </w:t>
      </w:r>
      <w:r>
        <w:t xml:space="preserve">However, </w:t>
      </w:r>
      <w:r w:rsidR="00694241">
        <w:t xml:space="preserve">school readiness assessment scores in </w:t>
      </w:r>
      <w:r w:rsidR="00AC72B2">
        <w:t>l</w:t>
      </w:r>
      <w:r>
        <w:t xml:space="preserve">iteracy, </w:t>
      </w:r>
      <w:r w:rsidR="00694241">
        <w:t>and cognitive (</w:t>
      </w:r>
      <w:r>
        <w:t>math</w:t>
      </w:r>
      <w:r w:rsidR="00694241">
        <w:t>/</w:t>
      </w:r>
      <w:r>
        <w:t>science knowledge</w:t>
      </w:r>
      <w:r w:rsidR="00694241">
        <w:t>)</w:t>
      </w:r>
      <w:r w:rsidR="00AC72B2">
        <w:t xml:space="preserve"> skills remained within the average to low category of development</w:t>
      </w:r>
      <w:r w:rsidR="00694241">
        <w:t xml:space="preserve">. </w:t>
      </w:r>
    </w:p>
    <w:p w14:paraId="51D753F9" w14:textId="4CBD6693" w:rsidR="001B0EB9" w:rsidRDefault="001B0EB9" w:rsidP="00AC72B2">
      <w:pPr>
        <w:ind w:left="2160"/>
      </w:pPr>
    </w:p>
    <w:p w14:paraId="1914FD8E" w14:textId="75B27C0F" w:rsidR="001B0EB9" w:rsidRDefault="001B0EB9" w:rsidP="00AC72B2">
      <w:pPr>
        <w:ind w:left="2160"/>
      </w:pPr>
      <w:r>
        <w:t xml:space="preserve">Green Hills Head Start partners with public school districts to ensure students are </w:t>
      </w:r>
      <w:r w:rsidR="001968EB">
        <w:t xml:space="preserve">prepared for kindergarten and will have a smooth transition.  </w:t>
      </w:r>
      <w:r w:rsidR="00A07BC5">
        <w:t xml:space="preserve">Transition activities </w:t>
      </w:r>
      <w:r w:rsidR="00D96208">
        <w:t xml:space="preserve">may include public schools sharing </w:t>
      </w:r>
      <w:r w:rsidR="00C07AA5">
        <w:t xml:space="preserve">their kindergarten expectation with staff, encouraging </w:t>
      </w:r>
      <w:r w:rsidR="00D96208">
        <w:t xml:space="preserve">kindergarten teachers </w:t>
      </w:r>
      <w:r w:rsidR="00C07AA5">
        <w:t xml:space="preserve">to </w:t>
      </w:r>
      <w:r w:rsidR="00D96208">
        <w:t xml:space="preserve">visit the classrooms, </w:t>
      </w:r>
      <w:r w:rsidR="00F35031">
        <w:t xml:space="preserve">helping families enroll their child in kindergarten, helping with kindergarten roundup, taking students on tours of their new schools.  </w:t>
      </w:r>
      <w:r w:rsidR="000E43F2">
        <w:t xml:space="preserve">Head Start teaching staff and home visitors </w:t>
      </w:r>
      <w:r w:rsidR="00045A36">
        <w:t xml:space="preserve">help parents with any paperwork that needs completed and help them to sign up for summer school or afterschool programs when needed.  </w:t>
      </w:r>
    </w:p>
    <w:p w14:paraId="01A75DD5" w14:textId="7FEA6F89" w:rsidR="00AC72B2" w:rsidRDefault="00AC72B2" w:rsidP="00A56F34"/>
    <w:p w14:paraId="5A49E00D" w14:textId="10813E2C" w:rsidR="00EF6424" w:rsidRDefault="006430CE" w:rsidP="00AC72B2">
      <w:pPr>
        <w:ind w:left="2160"/>
      </w:pPr>
      <w:r>
        <w:t>Professional development opportunities were provided during summer curriculum training sessions</w:t>
      </w:r>
      <w:r w:rsidR="00AE2260">
        <w:t xml:space="preserve"> (Creative Curriculum</w:t>
      </w:r>
      <w:r w:rsidR="00B4212E">
        <w:t xml:space="preserve">, Growing Great Kids) </w:t>
      </w:r>
      <w:r w:rsidR="002E7AB6">
        <w:t xml:space="preserve">and </w:t>
      </w:r>
      <w:r w:rsidR="002E7AB6">
        <w:lastRenderedPageBreak/>
        <w:t>August 20</w:t>
      </w:r>
      <w:r w:rsidR="00D52BC6">
        <w:t>2</w:t>
      </w:r>
      <w:r w:rsidR="00A800A0">
        <w:t>2</w:t>
      </w:r>
      <w:r w:rsidR="00AE2260">
        <w:t xml:space="preserve"> pr</w:t>
      </w:r>
      <w:r w:rsidR="002E7AB6">
        <w:t>e-service (</w:t>
      </w:r>
      <w:r w:rsidR="00CD67DC">
        <w:t xml:space="preserve">Trauma </w:t>
      </w:r>
      <w:r w:rsidR="00797F6E">
        <w:t>Smart, PBS</w:t>
      </w:r>
      <w:r w:rsidR="00AE2260">
        <w:t>)</w:t>
      </w:r>
      <w:r>
        <w:t xml:space="preserve"> </w:t>
      </w:r>
      <w:r w:rsidR="00432E7A">
        <w:t>to</w:t>
      </w:r>
      <w:r>
        <w:t xml:space="preserve"> provide instruction and support to teaching staff. </w:t>
      </w:r>
      <w:r w:rsidR="00965C55">
        <w:t xml:space="preserve">Professional development, practice-based </w:t>
      </w:r>
      <w:r w:rsidR="00E02CE2">
        <w:t>coaching</w:t>
      </w:r>
      <w:r w:rsidR="00965C55">
        <w:t xml:space="preserve">, and </w:t>
      </w:r>
      <w:r w:rsidR="0014709D">
        <w:t xml:space="preserve">peer support </w:t>
      </w:r>
      <w:r w:rsidR="00E02CE2">
        <w:t>are planned for the up</w:t>
      </w:r>
      <w:r w:rsidR="002E7AB6">
        <w:t>-</w:t>
      </w:r>
      <w:r w:rsidR="00E02CE2">
        <w:t xml:space="preserve">coming year in efforts to increase positive child outcomes in </w:t>
      </w:r>
      <w:r w:rsidR="0014709D">
        <w:t>all</w:t>
      </w:r>
      <w:r w:rsidR="002E7AB6">
        <w:t xml:space="preserve"> developmental areas with an emphasis on language/literacy and cognitive development.  </w:t>
      </w:r>
    </w:p>
    <w:p w14:paraId="0CC76ADB" w14:textId="06C7A6B1" w:rsidR="00C11B28" w:rsidRDefault="002E7AB6" w:rsidP="00AC72B2">
      <w:pPr>
        <w:ind w:left="2160"/>
      </w:pPr>
      <w:r>
        <w:t>This year we will be partneri</w:t>
      </w:r>
      <w:r w:rsidR="00CD67DC">
        <w:t xml:space="preserve">ng with parents </w:t>
      </w:r>
      <w:r w:rsidR="0000103D">
        <w:t>to provide a pilot of the Smart Connections</w:t>
      </w:r>
      <w:r w:rsidR="00573162">
        <w:t>, which focuses on Trauma Inform</w:t>
      </w:r>
      <w:r w:rsidR="00A50873">
        <w:t>ed Training</w:t>
      </w:r>
      <w:r w:rsidR="00797F6E">
        <w:t xml:space="preserve"> for parents</w:t>
      </w:r>
      <w:r w:rsidR="00A50873">
        <w:t xml:space="preserve">.  </w:t>
      </w:r>
    </w:p>
    <w:p w14:paraId="34528082" w14:textId="77777777" w:rsidR="00E1643B" w:rsidRDefault="00E1643B" w:rsidP="00AC72B2">
      <w:pPr>
        <w:ind w:left="2160"/>
      </w:pPr>
    </w:p>
    <w:p w14:paraId="595B090F" w14:textId="77777777" w:rsidR="002E7AB6" w:rsidRDefault="002E7AB6" w:rsidP="00AC72B2">
      <w:pPr>
        <w:ind w:left="2160"/>
      </w:pPr>
    </w:p>
    <w:p w14:paraId="14775DF4" w14:textId="77777777" w:rsidR="002E7AB6" w:rsidRDefault="00BB4194" w:rsidP="002E7AB6">
      <w:pPr>
        <w:rPr>
          <w:b/>
        </w:rPr>
      </w:pPr>
      <w:r w:rsidRPr="002E7AB6">
        <w:rPr>
          <w:b/>
        </w:rPr>
        <w:t xml:space="preserve">COMMUNITY ASSESSMENT: </w:t>
      </w:r>
    </w:p>
    <w:p w14:paraId="425C1F2D" w14:textId="2EEB342A" w:rsidR="00BB4194" w:rsidRDefault="00BB4194" w:rsidP="009325A2">
      <w:pPr>
        <w:ind w:left="2160"/>
      </w:pPr>
      <w:r>
        <w:t xml:space="preserve">The most recent Community Needs Assessment </w:t>
      </w:r>
      <w:r w:rsidR="00E1643B">
        <w:t>2022</w:t>
      </w:r>
      <w:r>
        <w:t xml:space="preserve"> </w:t>
      </w:r>
      <w:r w:rsidR="005A4D16">
        <w:t>in</w:t>
      </w:r>
      <w:r w:rsidR="005A5D6B">
        <w:t xml:space="preserve">dicates families in NCMC/GHHS’s </w:t>
      </w:r>
      <w:r w:rsidR="005A4D16">
        <w:t xml:space="preserve">service area continue to live in poverty. </w:t>
      </w:r>
      <w:r w:rsidR="009D28E9">
        <w:t xml:space="preserve">According to demographic data, nearly </w:t>
      </w:r>
      <w:r w:rsidR="00252A2F">
        <w:t>485</w:t>
      </w:r>
      <w:r w:rsidR="009D28E9">
        <w:t xml:space="preserve"> children were potentially income eligible for EHS/HS services during the 20</w:t>
      </w:r>
      <w:r w:rsidR="00B859FF">
        <w:t>2</w:t>
      </w:r>
      <w:r w:rsidR="006840FE">
        <w:t>1</w:t>
      </w:r>
      <w:r w:rsidR="00B859FF">
        <w:t>-202</w:t>
      </w:r>
      <w:r w:rsidR="006840FE">
        <w:t>2</w:t>
      </w:r>
      <w:r w:rsidR="009D28E9">
        <w:t xml:space="preserve"> school year.   </w:t>
      </w:r>
      <w:r w:rsidR="00750831">
        <w:t xml:space="preserve">Missouri is among the highest in the nation for </w:t>
      </w:r>
      <w:r w:rsidR="009D28E9">
        <w:t>families that receive TANF and participate in the SNAP (food stamps) program</w:t>
      </w:r>
      <w:r w:rsidR="006A58B2">
        <w:t>.</w:t>
      </w:r>
      <w:r w:rsidR="00BC00E3">
        <w:t xml:space="preserve"> </w:t>
      </w:r>
      <w:r w:rsidR="00C737C2">
        <w:t xml:space="preserve">More than </w:t>
      </w:r>
      <w:r w:rsidR="00896635">
        <w:t>60%</w:t>
      </w:r>
      <w:r w:rsidR="009D28E9">
        <w:t xml:space="preserve"> of 20</w:t>
      </w:r>
      <w:r w:rsidR="00643766">
        <w:t>2</w:t>
      </w:r>
      <w:r w:rsidR="005B7E45">
        <w:t>1</w:t>
      </w:r>
      <w:r w:rsidR="00643766">
        <w:t>-202</w:t>
      </w:r>
      <w:r w:rsidR="005B7E45">
        <w:t>2</w:t>
      </w:r>
      <w:r w:rsidR="009D28E9">
        <w:t xml:space="preserve"> enrolled Head Start families participated in the food stamp (SNAP) program</w:t>
      </w:r>
      <w:r w:rsidR="006A58B2" w:rsidRPr="006A58B2">
        <w:t xml:space="preserve"> </w:t>
      </w:r>
      <w:r w:rsidR="006A58B2">
        <w:t>which now qualifies them to be categorically eligible for our program.</w:t>
      </w:r>
      <w:r w:rsidR="00750831">
        <w:t xml:space="preserve"> Many of our Head Start parents </w:t>
      </w:r>
      <w:r w:rsidR="009D28E9">
        <w:t xml:space="preserve">struggle to find employment.  Without higher education, it is difficult for families to obtain employment with higher paying salaries.  </w:t>
      </w:r>
      <w:r w:rsidR="00C737C2">
        <w:t>The following chart shows the education level for our 20</w:t>
      </w:r>
      <w:r w:rsidR="00267899">
        <w:t>21</w:t>
      </w:r>
      <w:r w:rsidR="00AA375C">
        <w:t>-202</w:t>
      </w:r>
      <w:r w:rsidR="0072657B">
        <w:t>2</w:t>
      </w:r>
      <w:r w:rsidR="00C737C2">
        <w:t xml:space="preserve"> Head Start parents.  </w:t>
      </w:r>
    </w:p>
    <w:p w14:paraId="6324CA67" w14:textId="77777777" w:rsidR="00C737C2" w:rsidRDefault="00C737C2" w:rsidP="009325A2">
      <w:pPr>
        <w:ind w:left="2160"/>
      </w:pPr>
    </w:p>
    <w:p w14:paraId="1575AF15" w14:textId="77777777" w:rsidR="00C737C2" w:rsidRDefault="00673D4E" w:rsidP="00673D4E">
      <w:pPr>
        <w:ind w:left="720"/>
      </w:pPr>
      <w:r>
        <w:rPr>
          <w:noProof/>
        </w:rPr>
        <w:drawing>
          <wp:inline distT="0" distB="0" distL="0" distR="0" wp14:anchorId="4EB45F52" wp14:editId="54C74DD8">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CA6E0D" w14:textId="77777777" w:rsidR="00822650" w:rsidRDefault="00822650" w:rsidP="005A4D16">
      <w:pPr>
        <w:pStyle w:val="ListParagraph"/>
        <w:ind w:left="2160"/>
      </w:pPr>
    </w:p>
    <w:p w14:paraId="16ECD61F" w14:textId="5C86CE14" w:rsidR="005A4D16" w:rsidRDefault="005A4D16" w:rsidP="005A4D16">
      <w:pPr>
        <w:pStyle w:val="ListParagraph"/>
        <w:ind w:left="2160"/>
      </w:pPr>
      <w:r>
        <w:t xml:space="preserve">Additional assessment data indicates a greater presence and accessibility of </w:t>
      </w:r>
      <w:r w:rsidR="00AA375C">
        <w:t>public-school</w:t>
      </w:r>
      <w:r>
        <w:t xml:space="preserve"> preschools in the service region. For that reason, program efforts to transition Head Start to Early Head Start services will continue to be included in future strategic plans.</w:t>
      </w:r>
    </w:p>
    <w:p w14:paraId="16DF1E3C" w14:textId="77777777" w:rsidR="00290B81" w:rsidRPr="00C11B28" w:rsidRDefault="00290B81" w:rsidP="00290B81">
      <w:pPr>
        <w:pStyle w:val="ListParagraph"/>
        <w:ind w:left="2520"/>
      </w:pPr>
    </w:p>
    <w:p w14:paraId="10C64728" w14:textId="77777777" w:rsidR="00D63F06" w:rsidRDefault="000C24C7" w:rsidP="00D63F06">
      <w:r w:rsidRPr="00D63F06">
        <w:rPr>
          <w:b/>
        </w:rPr>
        <w:t>ADMINISTRATIVE SUPPORT:</w:t>
      </w:r>
      <w:r>
        <w:t xml:space="preserve"> </w:t>
      </w:r>
    </w:p>
    <w:p w14:paraId="08979567" w14:textId="4AFE1707" w:rsidR="000C24C7" w:rsidRDefault="008466B5" w:rsidP="00D63F06">
      <w:pPr>
        <w:ind w:left="2160"/>
      </w:pPr>
      <w:r>
        <w:lastRenderedPageBreak/>
        <w:t xml:space="preserve">For more than 30 years, Green Hills Head Start has prospered under the umbrella of North Central Missouri College. The College serves as the legal and fiscal agent for Head Start; the NCMC Board of Trustees </w:t>
      </w:r>
      <w:r w:rsidR="00673D4E">
        <w:t>provides</w:t>
      </w:r>
      <w:r>
        <w:t xml:space="preserve"> program governance as required by Head Start grants. </w:t>
      </w:r>
      <w:r w:rsidR="000C24C7">
        <w:t xml:space="preserve">North Central Missouri College </w:t>
      </w:r>
      <w:r w:rsidR="00587243">
        <w:t xml:space="preserve">President, Dr. Lenny Klaver, as well as Board of </w:t>
      </w:r>
      <w:r w:rsidR="000C24C7">
        <w:t>Trustee</w:t>
      </w:r>
      <w:r w:rsidR="00587243">
        <w:t>s</w:t>
      </w:r>
      <w:r w:rsidR="000C24C7">
        <w:t xml:space="preserve"> representatives regularly attend Head Start Policy Council meetings</w:t>
      </w:r>
      <w:r w:rsidR="00587243">
        <w:t xml:space="preserve">. Additionally, a Head Start representative attends monthly NCMC board meetings and administrative council meetings, </w:t>
      </w:r>
      <w:r w:rsidR="0036766D">
        <w:t xml:space="preserve">ensuring effective communication between the College and </w:t>
      </w:r>
      <w:r w:rsidR="00587243">
        <w:t xml:space="preserve">Head Start. </w:t>
      </w:r>
    </w:p>
    <w:p w14:paraId="3A4B4D56" w14:textId="77777777" w:rsidR="000C24C7" w:rsidRDefault="000C24C7" w:rsidP="000C24C7">
      <w:pPr>
        <w:ind w:left="2880"/>
        <w:rPr>
          <w:b/>
        </w:rPr>
      </w:pPr>
    </w:p>
    <w:p w14:paraId="6A76DD8F" w14:textId="77777777" w:rsidR="00D63F06" w:rsidRDefault="000C24C7" w:rsidP="00D63F06">
      <w:r w:rsidRPr="00443082">
        <w:rPr>
          <w:b/>
        </w:rPr>
        <w:t>COMMUNITY PARTNERSHIPS:</w:t>
      </w:r>
      <w:r>
        <w:t xml:space="preserve"> </w:t>
      </w:r>
    </w:p>
    <w:p w14:paraId="75E2A991" w14:textId="71D744CA" w:rsidR="000C24C7" w:rsidRDefault="000C24C7" w:rsidP="00D63F06">
      <w:pPr>
        <w:ind w:left="2160"/>
      </w:pPr>
      <w:r>
        <w:t xml:space="preserve">Engaged community agencies, public schools, </w:t>
      </w:r>
      <w:r w:rsidR="00CE44D2">
        <w:t>professionals,</w:t>
      </w:r>
      <w:r>
        <w:t xml:space="preserve"> and </w:t>
      </w:r>
      <w:r w:rsidR="00887BD4">
        <w:t>volunteers’</w:t>
      </w:r>
      <w:r w:rsidR="006E19A4">
        <w:t xml:space="preserve"> </w:t>
      </w:r>
      <w:r>
        <w:t>partner with Head Start to effectively serve area children and families. With the assistance of local school district personnel, Parents-as-</w:t>
      </w:r>
      <w:r w:rsidR="002666C4">
        <w:t>Teacher’s</w:t>
      </w:r>
      <w:r>
        <w:t xml:space="preserve"> educators, Department of Social Services-Children’s Division employees, and </w:t>
      </w:r>
      <w:r w:rsidR="006E19A4">
        <w:t>C</w:t>
      </w:r>
      <w:r>
        <w:t xml:space="preserve">ommunity </w:t>
      </w:r>
      <w:r w:rsidR="006E19A4">
        <w:t>A</w:t>
      </w:r>
      <w:r>
        <w:t xml:space="preserve">ction agency staff, Head Start </w:t>
      </w:r>
      <w:r w:rsidR="002666C4">
        <w:t>T</w:t>
      </w:r>
      <w:r>
        <w:t xml:space="preserve">eachers and </w:t>
      </w:r>
      <w:r w:rsidR="006E19A4">
        <w:t>H</w:t>
      </w:r>
      <w:r>
        <w:t xml:space="preserve">ome </w:t>
      </w:r>
      <w:r w:rsidR="006E19A4">
        <w:t>V</w:t>
      </w:r>
      <w:r>
        <w:t xml:space="preserve">isitors work to identify eligible children and families in the nine-county service area. County health departments host summer health screening events where Head Start children receive physical exams, required immunizations, and lead screenings. Local dental professionals reserve appointment slots that allow Head Start children to receive dental exams and follow-up care. </w:t>
      </w:r>
      <w:r w:rsidR="002668C3">
        <w:t xml:space="preserve">The </w:t>
      </w:r>
      <w:r w:rsidR="00D467AF">
        <w:t xml:space="preserve">Northeast Dental </w:t>
      </w:r>
      <w:r w:rsidR="00FE3DA2">
        <w:t xml:space="preserve">van provides dental services in Sullivan and Putnam counties.  </w:t>
      </w:r>
      <w:r>
        <w:t xml:space="preserve">In close partnership with public school districts, Head Start ensures that children receive necessary </w:t>
      </w:r>
      <w:r w:rsidR="0047225D">
        <w:t>evaluations</w:t>
      </w:r>
      <w:r>
        <w:t xml:space="preserve"> and disability services if required. </w:t>
      </w:r>
      <w:r w:rsidR="00CD7A1C">
        <w:t>Preferred Family Health</w:t>
      </w:r>
      <w:r w:rsidR="0047225D">
        <w:t>care</w:t>
      </w:r>
      <w:r w:rsidR="00CD7A1C">
        <w:t xml:space="preserve"> </w:t>
      </w:r>
      <w:r w:rsidR="0019498D">
        <w:t xml:space="preserve">connects with staff, children, and families to </w:t>
      </w:r>
      <w:r w:rsidR="00443082">
        <w:t>offer</w:t>
      </w:r>
      <w:r w:rsidR="00CD7A1C">
        <w:t xml:space="preserve"> </w:t>
      </w:r>
      <w:r w:rsidR="00443082">
        <w:t xml:space="preserve">mental health services and supportive resources when appropriate. </w:t>
      </w:r>
    </w:p>
    <w:p w14:paraId="13900AE7" w14:textId="77777777" w:rsidR="00673D4E" w:rsidRDefault="00673D4E" w:rsidP="00673D4E">
      <w:pPr>
        <w:pStyle w:val="ListParagraph"/>
      </w:pPr>
    </w:p>
    <w:p w14:paraId="17FEF0B3" w14:textId="658FA83A" w:rsidR="00673D4E" w:rsidRDefault="009E5222" w:rsidP="009E5222">
      <w:pPr>
        <w:ind w:left="2160"/>
      </w:pPr>
      <w:proofErr w:type="gramStart"/>
      <w:r>
        <w:t>In order to</w:t>
      </w:r>
      <w:proofErr w:type="gramEnd"/>
      <w:r>
        <w:t xml:space="preserve"> safely provide services during the COVID-19 pandemic, we have partnered with many of our community agencies to create policies/procedures that reflect the current status of our counties.  We have been in close contact with our Health Departments and Public schools to make sure we are providing services consistent with the guidelines in each individual county.  These recommendations have been discussed with our Health Advisory Committee </w:t>
      </w:r>
      <w:r w:rsidR="004E5AD1">
        <w:t xml:space="preserve">as well as with Policy Council and the NCMC Board </w:t>
      </w:r>
      <w:r>
        <w:t xml:space="preserve">before policies/procedures have been put in place.  </w:t>
      </w:r>
    </w:p>
    <w:p w14:paraId="2A64C005" w14:textId="77777777" w:rsidR="0019498D" w:rsidRDefault="0019498D" w:rsidP="0019498D">
      <w:pPr>
        <w:pStyle w:val="ListParagraph"/>
      </w:pPr>
    </w:p>
    <w:p w14:paraId="7627541C" w14:textId="79B5BE32" w:rsidR="0019498D" w:rsidRDefault="003137FC" w:rsidP="00760346">
      <w:pPr>
        <w:ind w:left="2160"/>
      </w:pPr>
      <w:r>
        <w:t>Community businesses also partner</w:t>
      </w:r>
      <w:r w:rsidR="0019498D">
        <w:t xml:space="preserve"> with Head Start to offer donated materials and monetary support. These donations </w:t>
      </w:r>
      <w:r>
        <w:t xml:space="preserve">are used to support curricular goals and positive child outcomes, classroom/playground safety, and child/family needs. Community volunteers are a valuable resource to </w:t>
      </w:r>
      <w:r w:rsidR="0019498D">
        <w:t>teachers and home visitors</w:t>
      </w:r>
      <w:r>
        <w:t xml:space="preserve"> by providing time and resources that support </w:t>
      </w:r>
      <w:r w:rsidR="00735EDD">
        <w:t xml:space="preserve">the </w:t>
      </w:r>
      <w:r w:rsidR="007F015B">
        <w:t xml:space="preserve">development of appropriate personal/social skills, </w:t>
      </w:r>
      <w:r>
        <w:t xml:space="preserve">language/literacy </w:t>
      </w:r>
      <w:r w:rsidR="007F015B">
        <w:t>knowledge, and c</w:t>
      </w:r>
      <w:r>
        <w:t xml:space="preserve">ognitive awareness of the </w:t>
      </w:r>
      <w:r w:rsidR="00482531">
        <w:t>surrounding</w:t>
      </w:r>
      <w:r>
        <w:t xml:space="preserve"> community</w:t>
      </w:r>
      <w:r w:rsidR="007F015B">
        <w:t>.</w:t>
      </w:r>
      <w:r w:rsidR="00703FEB">
        <w:t xml:space="preserve"> </w:t>
      </w:r>
    </w:p>
    <w:p w14:paraId="4C4E76BB" w14:textId="3116D5BC" w:rsidR="00D63F06" w:rsidRDefault="00D63F06" w:rsidP="00D63F06">
      <w:pPr>
        <w:rPr>
          <w:b/>
          <w:bCs/>
        </w:rPr>
      </w:pPr>
      <w:r w:rsidRPr="00D63F06">
        <w:rPr>
          <w:b/>
          <w:bCs/>
        </w:rPr>
        <w:t>HEALTH:</w:t>
      </w:r>
    </w:p>
    <w:p w14:paraId="5FDA7A4E" w14:textId="0641488C" w:rsidR="005772A6" w:rsidRDefault="00D83A5E" w:rsidP="00374F48">
      <w:pPr>
        <w:ind w:left="2160"/>
      </w:pPr>
      <w:r>
        <w:t xml:space="preserve">Head Start </w:t>
      </w:r>
      <w:r w:rsidR="00BD3B09">
        <w:t xml:space="preserve">partners with families to ensure they </w:t>
      </w:r>
      <w:r w:rsidR="00365DBE">
        <w:t xml:space="preserve">have </w:t>
      </w:r>
      <w:r w:rsidR="00D9683F">
        <w:t xml:space="preserve">adequate health insurance as well as </w:t>
      </w:r>
      <w:r w:rsidR="00365DBE">
        <w:t xml:space="preserve">an ongoing source of continuous </w:t>
      </w:r>
      <w:r w:rsidR="00D9683F">
        <w:t xml:space="preserve">medical and dental </w:t>
      </w:r>
      <w:r w:rsidR="00365DBE">
        <w:t>care</w:t>
      </w:r>
      <w:r w:rsidR="00D9683F">
        <w:t xml:space="preserve">.  </w:t>
      </w:r>
      <w:r w:rsidR="0047530F">
        <w:t>During the 2021-2022 school year</w:t>
      </w:r>
      <w:r w:rsidR="005772A6">
        <w:t>:</w:t>
      </w:r>
    </w:p>
    <w:p w14:paraId="0E50721C" w14:textId="77777777" w:rsidR="008D52CF" w:rsidRDefault="00267109" w:rsidP="008D52CF">
      <w:pPr>
        <w:pStyle w:val="ListParagraph"/>
        <w:numPr>
          <w:ilvl w:val="0"/>
          <w:numId w:val="18"/>
        </w:numPr>
      </w:pPr>
      <w:r>
        <w:t xml:space="preserve">Nineth six percent of </w:t>
      </w:r>
      <w:r w:rsidR="002170D5">
        <w:t>Head Start</w:t>
      </w:r>
      <w:r w:rsidR="00E02B60">
        <w:t xml:space="preserve"> children </w:t>
      </w:r>
      <w:r w:rsidR="002170D5">
        <w:t xml:space="preserve">were enrolled in Medicaid or private </w:t>
      </w:r>
      <w:r w:rsidR="00E02B60">
        <w:t xml:space="preserve">health insurance.  </w:t>
      </w:r>
      <w:r w:rsidR="00365DBE">
        <w:t xml:space="preserve"> </w:t>
      </w:r>
    </w:p>
    <w:p w14:paraId="4A7F284F" w14:textId="77777777" w:rsidR="00374F48" w:rsidRDefault="003C24D6" w:rsidP="008D52CF">
      <w:pPr>
        <w:pStyle w:val="ListParagraph"/>
        <w:numPr>
          <w:ilvl w:val="0"/>
          <w:numId w:val="18"/>
        </w:numPr>
      </w:pPr>
      <w:r>
        <w:lastRenderedPageBreak/>
        <w:t xml:space="preserve">Ninety </w:t>
      </w:r>
      <w:r w:rsidR="00537D55">
        <w:t xml:space="preserve">eight percent had an ongoing source of continuous assessable health care.  </w:t>
      </w:r>
    </w:p>
    <w:p w14:paraId="541264E3" w14:textId="0C1FEFB5" w:rsidR="00733338" w:rsidRDefault="00374F48" w:rsidP="008D52CF">
      <w:pPr>
        <w:pStyle w:val="ListParagraph"/>
        <w:numPr>
          <w:ilvl w:val="0"/>
          <w:numId w:val="18"/>
        </w:numPr>
      </w:pPr>
      <w:r>
        <w:t xml:space="preserve">Eighty six percent of </w:t>
      </w:r>
      <w:r w:rsidR="0046278F">
        <w:t>were up to date on medical exams and well child checks.</w:t>
      </w:r>
    </w:p>
    <w:p w14:paraId="0DD6FFCC" w14:textId="62D2C68C" w:rsidR="0046278F" w:rsidRPr="00455145" w:rsidRDefault="001160A8" w:rsidP="008D52CF">
      <w:pPr>
        <w:pStyle w:val="ListParagraph"/>
        <w:numPr>
          <w:ilvl w:val="0"/>
          <w:numId w:val="18"/>
        </w:numPr>
      </w:pPr>
      <w:r>
        <w:t xml:space="preserve">Seventy Three percent </w:t>
      </w:r>
      <w:r w:rsidR="001A61A6">
        <w:t>received their annual dental exam.</w:t>
      </w:r>
    </w:p>
    <w:p w14:paraId="5DD29D46" w14:textId="77777777" w:rsidR="00443082" w:rsidRDefault="00443082" w:rsidP="00443082">
      <w:pPr>
        <w:ind w:left="2160"/>
      </w:pPr>
    </w:p>
    <w:p w14:paraId="1755C359" w14:textId="77777777" w:rsidR="00381FBA" w:rsidRDefault="000C24C7" w:rsidP="00381FBA">
      <w:pPr>
        <w:rPr>
          <w:b/>
        </w:rPr>
      </w:pPr>
      <w:r w:rsidRPr="00F05C1C">
        <w:rPr>
          <w:b/>
        </w:rPr>
        <w:t xml:space="preserve">FAMILY ENGAGEMENT: </w:t>
      </w:r>
    </w:p>
    <w:p w14:paraId="73E85DDE" w14:textId="2FD4F207" w:rsidR="001C6812" w:rsidRPr="001C6812" w:rsidRDefault="001C6812" w:rsidP="00381FBA">
      <w:pPr>
        <w:ind w:left="2160"/>
      </w:pPr>
      <w:r w:rsidRPr="001C6812">
        <w:t>Head Start families receive continuous support from staff throughout the year. Teachers and home visitors regularly conduct home visits and parent/teacher conferences with parents/guardians. Family Engagement specialists meet with families, providing support to parents/guardians as each family works toward family goal achievement and engages in school-readiness activities at home. Each parent is given Positive Behavior Support (PBS) home kits, enabling families to extend PBS strategies from the classroom into the home environment. Head Start staff members also offer resource information and community connections in efforts to address educational, financial, mental health, and nutritional needs.</w:t>
      </w:r>
    </w:p>
    <w:p w14:paraId="34660CE1" w14:textId="77777777" w:rsidR="001C6812" w:rsidRDefault="001C6812" w:rsidP="001C6812">
      <w:pPr>
        <w:ind w:left="2160"/>
      </w:pPr>
    </w:p>
    <w:p w14:paraId="4A08D7B3" w14:textId="744EFA0B" w:rsidR="00AE691C" w:rsidRPr="00085F60" w:rsidRDefault="005D76DD" w:rsidP="001C6812">
      <w:pPr>
        <w:ind w:left="2160"/>
      </w:pPr>
      <w:r>
        <w:t xml:space="preserve">As they have for the past </w:t>
      </w:r>
      <w:r w:rsidR="003550D7">
        <w:t>three</w:t>
      </w:r>
      <w:r>
        <w:t xml:space="preserve"> years, center </w:t>
      </w:r>
      <w:r w:rsidR="00785905">
        <w:t>staff plans</w:t>
      </w:r>
      <w:r>
        <w:t xml:space="preserve"> ‘Family Day’ activities every 4-6 weeks, usually at the end of a curriculum unit. During ‘Family Day’, parents and grandparents visit </w:t>
      </w:r>
      <w:r w:rsidR="003E7F84">
        <w:t xml:space="preserve">the classroom where children proudly display completed projects, share learned concepts, and </w:t>
      </w:r>
      <w:r w:rsidR="00AE691C">
        <w:t xml:space="preserve">participate in a learning activity with </w:t>
      </w:r>
      <w:r>
        <w:t>family members</w:t>
      </w:r>
      <w:r w:rsidR="00AE691C">
        <w:t xml:space="preserve">. </w:t>
      </w:r>
      <w:r>
        <w:t>Likewise, h</w:t>
      </w:r>
      <w:r w:rsidR="00AE691C">
        <w:t xml:space="preserve">ome-based parents are encouraged to </w:t>
      </w:r>
      <w:r w:rsidR="0047225D">
        <w:t>attend</w:t>
      </w:r>
      <w:r w:rsidR="00AE691C">
        <w:t xml:space="preserve"> </w:t>
      </w:r>
      <w:r w:rsidR="00736E18">
        <w:t>home-based ‘Family Day’</w:t>
      </w:r>
      <w:r w:rsidR="00AE691C">
        <w:t xml:space="preserve"> </w:t>
      </w:r>
      <w:r w:rsidR="0047225D">
        <w:t>events</w:t>
      </w:r>
      <w:r w:rsidR="00AE691C">
        <w:t xml:space="preserve"> each month</w:t>
      </w:r>
      <w:r w:rsidR="0047225D">
        <w:t xml:space="preserve"> to share activities with their children</w:t>
      </w:r>
      <w:r w:rsidR="00736E18">
        <w:t xml:space="preserve"> in a group setting. </w:t>
      </w:r>
    </w:p>
    <w:p w14:paraId="5047BE33" w14:textId="1F1CDAB5" w:rsidR="00703FEB" w:rsidRPr="00085F60" w:rsidRDefault="00DB2345" w:rsidP="00703FEB">
      <w:pPr>
        <w:ind w:left="2160"/>
      </w:pPr>
      <w:proofErr w:type="gramStart"/>
      <w:r>
        <w:t>P</w:t>
      </w:r>
      <w:r w:rsidR="00AE691C" w:rsidRPr="00085F60">
        <w:t xml:space="preserve">arents </w:t>
      </w:r>
      <w:r w:rsidR="00085F60" w:rsidRPr="00085F60">
        <w:t>are</w:t>
      </w:r>
      <w:proofErr w:type="gramEnd"/>
      <w:r w:rsidR="00085F60" w:rsidRPr="00085F60">
        <w:t xml:space="preserve"> </w:t>
      </w:r>
      <w:r w:rsidR="005E4C12" w:rsidRPr="00085F60">
        <w:t xml:space="preserve">regularly </w:t>
      </w:r>
      <w:r w:rsidR="00AE691C" w:rsidRPr="00085F60">
        <w:t>participat</w:t>
      </w:r>
      <w:r w:rsidR="005E4C12" w:rsidRPr="00085F60">
        <w:t>ing</w:t>
      </w:r>
      <w:r w:rsidR="00AE691C" w:rsidRPr="00085F60">
        <w:t xml:space="preserve"> in weekly home learning activities assigned by Head Start teache</w:t>
      </w:r>
      <w:r w:rsidR="003F1BCA" w:rsidRPr="00085F60">
        <w:t>rs</w:t>
      </w:r>
      <w:r w:rsidR="00AE691C" w:rsidRPr="00085F60">
        <w:t xml:space="preserve"> </w:t>
      </w:r>
      <w:r w:rsidR="0047225D" w:rsidRPr="00085F60">
        <w:t>and</w:t>
      </w:r>
      <w:r w:rsidR="00AE691C" w:rsidRPr="00085F60">
        <w:t xml:space="preserve"> home visitor</w:t>
      </w:r>
      <w:r w:rsidR="003F1BCA" w:rsidRPr="00085F60">
        <w:t>s</w:t>
      </w:r>
      <w:r w:rsidR="00AE691C" w:rsidRPr="00085F60">
        <w:t>. Each activity is designed to extend the classroom/home-based curriculum into the home environment, engaging parents in the learning process.</w:t>
      </w:r>
      <w:r w:rsidR="005E4C12" w:rsidRPr="00085F60">
        <w:t xml:space="preserve"> </w:t>
      </w:r>
      <w:r w:rsidR="00290B81" w:rsidRPr="00085F60">
        <w:t xml:space="preserve"> </w:t>
      </w:r>
      <w:r w:rsidR="0064459C" w:rsidRPr="00085F60">
        <w:t>All</w:t>
      </w:r>
      <w:r w:rsidR="005E4C12" w:rsidRPr="00085F60">
        <w:t xml:space="preserve"> parent-child home activities contribute to the program’s non-federal match requirement</w:t>
      </w:r>
      <w:r w:rsidR="003F1BCA" w:rsidRPr="00085F60">
        <w:t xml:space="preserve">. </w:t>
      </w:r>
      <w:r w:rsidR="00834FCE">
        <w:t xml:space="preserve"> </w:t>
      </w:r>
    </w:p>
    <w:p w14:paraId="3FE60449" w14:textId="77777777" w:rsidR="000C24C7" w:rsidRPr="002974D8" w:rsidRDefault="000C24C7" w:rsidP="00D05470">
      <w:pPr>
        <w:rPr>
          <w:b/>
          <w:highlight w:val="yellow"/>
        </w:rPr>
      </w:pPr>
    </w:p>
    <w:p w14:paraId="763F28C7" w14:textId="6042536A" w:rsidR="000C24C7" w:rsidRDefault="003F1BCA" w:rsidP="00A63999">
      <w:pPr>
        <w:ind w:left="2160"/>
      </w:pPr>
      <w:r w:rsidRPr="00234D80">
        <w:t>Leadership opportunities are offered to p</w:t>
      </w:r>
      <w:r w:rsidR="000C24C7" w:rsidRPr="00234D80">
        <w:t>arents/guardians</w:t>
      </w:r>
      <w:r w:rsidRPr="00234D80">
        <w:t xml:space="preserve"> through active involvement in </w:t>
      </w:r>
      <w:r w:rsidR="000C24C7" w:rsidRPr="00234D80">
        <w:t xml:space="preserve">Head Start </w:t>
      </w:r>
      <w:r w:rsidR="003E1566">
        <w:t xml:space="preserve">Parent Groups, </w:t>
      </w:r>
      <w:r w:rsidR="000C24C7" w:rsidRPr="00234D80">
        <w:t xml:space="preserve">Policy </w:t>
      </w:r>
      <w:proofErr w:type="gramStart"/>
      <w:r w:rsidR="000C24C7" w:rsidRPr="00234D80">
        <w:t>Council</w:t>
      </w:r>
      <w:proofErr w:type="gramEnd"/>
      <w:r w:rsidR="000C24C7" w:rsidRPr="00234D80">
        <w:t xml:space="preserve"> </w:t>
      </w:r>
      <w:r w:rsidRPr="00234D80">
        <w:t>or the</w:t>
      </w:r>
      <w:r w:rsidR="000C24C7" w:rsidRPr="00234D80">
        <w:t xml:space="preserve"> Health Advisory Committee</w:t>
      </w:r>
      <w:r w:rsidRPr="00234D80">
        <w:t>. Additionally, parents are invited to training events as appropriate</w:t>
      </w:r>
      <w:r w:rsidR="0047225D" w:rsidRPr="00234D80">
        <w:t xml:space="preserve"> to their interests</w:t>
      </w:r>
      <w:r w:rsidRPr="00234D80">
        <w:t>. Grant funds are budgeted to assist families with travel and babysitting expenses if necessary to ensure their participation in leadership roles.</w:t>
      </w:r>
      <w:r w:rsidR="000C24C7">
        <w:t xml:space="preserve"> </w:t>
      </w:r>
    </w:p>
    <w:p w14:paraId="700C4656" w14:textId="77777777" w:rsidR="00BB0481" w:rsidRDefault="00BB0481" w:rsidP="006644E4">
      <w:pPr>
        <w:ind w:left="2520"/>
      </w:pPr>
    </w:p>
    <w:p w14:paraId="21F34EC0" w14:textId="77777777" w:rsidR="00F21093" w:rsidRDefault="00F21093" w:rsidP="00421FD4">
      <w:pPr>
        <w:tabs>
          <w:tab w:val="left" w:pos="2160"/>
        </w:tabs>
        <w:ind w:left="2160" w:hanging="2160"/>
      </w:pPr>
    </w:p>
    <w:p w14:paraId="0E20D8D2" w14:textId="469B7ED7" w:rsidR="00F21093" w:rsidRDefault="00BB0481" w:rsidP="00421FD4">
      <w:pPr>
        <w:tabs>
          <w:tab w:val="left" w:pos="2160"/>
        </w:tabs>
        <w:ind w:left="2160" w:hanging="2160"/>
      </w:pPr>
      <w:r w:rsidRPr="00760346">
        <w:t>Looking Ahead:</w:t>
      </w:r>
      <w:r>
        <w:tab/>
      </w:r>
      <w:r w:rsidR="00F21093">
        <w:t>NCMC/Green Hills Head Start will continue to provide services using</w:t>
      </w:r>
      <w:r w:rsidR="007678F2">
        <w:t xml:space="preserve"> the </w:t>
      </w:r>
      <w:r w:rsidR="00F470EC">
        <w:t xml:space="preserve">updated </w:t>
      </w:r>
      <w:r w:rsidR="007678F2">
        <w:t>Emergency Preparedness Plan</w:t>
      </w:r>
      <w:r w:rsidR="00834FCE">
        <w:t xml:space="preserve"> in response to COVID-19.  This plan includes policies and procedures on requiring sick children and employees to stay home, practicing good hygiene as well as daily health checks for children and staff.  </w:t>
      </w:r>
      <w:r w:rsidR="00E1129B">
        <w:t>We</w:t>
      </w:r>
      <w:r w:rsidR="00F21093">
        <w:t xml:space="preserve"> </w:t>
      </w:r>
      <w:r w:rsidR="00B65AFD">
        <w:t xml:space="preserve">are currently providing </w:t>
      </w:r>
      <w:proofErr w:type="gramStart"/>
      <w:r w:rsidR="00B65AFD">
        <w:t>full</w:t>
      </w:r>
      <w:proofErr w:type="gramEnd"/>
      <w:r w:rsidR="00B65AFD">
        <w:t xml:space="preserve"> comprehensive services.  </w:t>
      </w:r>
    </w:p>
    <w:p w14:paraId="1D2AA531" w14:textId="77777777" w:rsidR="00F21093" w:rsidRDefault="00F21093" w:rsidP="00421FD4">
      <w:pPr>
        <w:tabs>
          <w:tab w:val="left" w:pos="2160"/>
        </w:tabs>
        <w:ind w:left="2160" w:hanging="2160"/>
      </w:pPr>
    </w:p>
    <w:p w14:paraId="0810056C" w14:textId="5BAC4B85" w:rsidR="00586AA5" w:rsidRDefault="00F21093" w:rsidP="00421FD4">
      <w:pPr>
        <w:tabs>
          <w:tab w:val="left" w:pos="2160"/>
        </w:tabs>
        <w:ind w:left="2160" w:hanging="2160"/>
      </w:pPr>
      <w:r>
        <w:tab/>
      </w:r>
      <w:r w:rsidR="005A795A">
        <w:t xml:space="preserve">As NCMC/Green Hills Head Start enters </w:t>
      </w:r>
      <w:r w:rsidR="00905B73">
        <w:t xml:space="preserve">Year </w:t>
      </w:r>
      <w:r w:rsidR="00E1129B">
        <w:t>4</w:t>
      </w:r>
      <w:r w:rsidR="00A73B3E">
        <w:t xml:space="preserve"> </w:t>
      </w:r>
      <w:r w:rsidR="005A795A">
        <w:t>of the 5</w:t>
      </w:r>
      <w:r w:rsidR="001C6812">
        <w:t>-year federal Head Start grant</w:t>
      </w:r>
      <w:r w:rsidR="00663682">
        <w:t xml:space="preserve"> </w:t>
      </w:r>
      <w:r w:rsidR="00E4070C">
        <w:t>(</w:t>
      </w:r>
      <w:r w:rsidR="001C6812">
        <w:t>202</w:t>
      </w:r>
      <w:r w:rsidR="00CD4D06">
        <w:t>3</w:t>
      </w:r>
      <w:r w:rsidR="00F955C2">
        <w:t>-202</w:t>
      </w:r>
      <w:r w:rsidR="00CD4D06">
        <w:t>4</w:t>
      </w:r>
      <w:r w:rsidR="00E4070C">
        <w:t>)</w:t>
      </w:r>
      <w:r w:rsidR="00663682">
        <w:t>, t</w:t>
      </w:r>
      <w:r w:rsidR="00E1557D">
        <w:t xml:space="preserve">he new grant application will include a </w:t>
      </w:r>
      <w:r w:rsidR="00E4070C">
        <w:t>total f</w:t>
      </w:r>
      <w:r w:rsidR="001C6812">
        <w:t xml:space="preserve">unded enrollment </w:t>
      </w:r>
      <w:r w:rsidR="00E1557D">
        <w:t>of</w:t>
      </w:r>
      <w:r w:rsidR="001C6812">
        <w:t xml:space="preserve"> 227 slot</w:t>
      </w:r>
      <w:r w:rsidR="00E1129B">
        <w:t xml:space="preserve">s.  </w:t>
      </w:r>
      <w:r w:rsidR="00584399">
        <w:t xml:space="preserve">We will continue to prepare </w:t>
      </w:r>
      <w:r w:rsidR="00EA6BDF">
        <w:t xml:space="preserve">Chillicothe </w:t>
      </w:r>
      <w:r w:rsidR="00E1129B">
        <w:t xml:space="preserve">and Unionville </w:t>
      </w:r>
      <w:r w:rsidR="00EA6BDF">
        <w:t>Center</w:t>
      </w:r>
      <w:r w:rsidR="00E1129B">
        <w:t>s</w:t>
      </w:r>
      <w:r w:rsidR="00EA6BDF">
        <w:t xml:space="preserve"> for the conversion of Early Head Start Services </w:t>
      </w:r>
      <w:r w:rsidR="00E1129B">
        <w:t xml:space="preserve">slated for </w:t>
      </w:r>
      <w:r w:rsidR="00E1129B">
        <w:lastRenderedPageBreak/>
        <w:t>the Fall of 2023</w:t>
      </w:r>
      <w:r w:rsidR="00EA6BDF">
        <w:t xml:space="preserve">.  </w:t>
      </w:r>
      <w:r w:rsidR="00611F49">
        <w:t xml:space="preserve">Staff who wish to transfer to Early Head Start will be provided with the opportunity to receive the education necessary to fulfill these positions.  </w:t>
      </w:r>
    </w:p>
    <w:p w14:paraId="70537E59" w14:textId="33E52746" w:rsidR="003A2A37" w:rsidRDefault="003A2A37" w:rsidP="00421FD4">
      <w:pPr>
        <w:tabs>
          <w:tab w:val="left" w:pos="2160"/>
        </w:tabs>
        <w:ind w:left="2160" w:hanging="2160"/>
      </w:pPr>
      <w:r>
        <w:tab/>
      </w:r>
    </w:p>
    <w:p w14:paraId="7920789A" w14:textId="6A853A87" w:rsidR="003A2A37" w:rsidRDefault="003A2A37" w:rsidP="00421FD4">
      <w:pPr>
        <w:tabs>
          <w:tab w:val="left" w:pos="2160"/>
        </w:tabs>
        <w:ind w:left="2160" w:hanging="2160"/>
      </w:pPr>
      <w:r>
        <w:tab/>
        <w:t xml:space="preserve">NCMC/Green Hills Head Start will focus efforts on staff employment and retention.  </w:t>
      </w:r>
      <w:r w:rsidR="00147D0A">
        <w:t xml:space="preserve">Educational </w:t>
      </w:r>
      <w:r w:rsidR="00887A62">
        <w:t>o</w:t>
      </w:r>
      <w:r w:rsidR="00147D0A">
        <w:t>pportunities and staff benefits will be a priority to ensure we remain fully staffed for the upcoming year.</w:t>
      </w:r>
    </w:p>
    <w:p w14:paraId="69ACB1AF" w14:textId="77777777" w:rsidR="007678F2" w:rsidRDefault="007678F2" w:rsidP="00421FD4">
      <w:pPr>
        <w:tabs>
          <w:tab w:val="left" w:pos="2160"/>
        </w:tabs>
        <w:ind w:left="2160" w:hanging="2160"/>
      </w:pPr>
      <w:r>
        <w:tab/>
      </w:r>
      <w:r>
        <w:tab/>
      </w:r>
    </w:p>
    <w:p w14:paraId="21298248" w14:textId="60AABBF9" w:rsidR="007678F2" w:rsidRDefault="007678F2" w:rsidP="00421FD4">
      <w:pPr>
        <w:tabs>
          <w:tab w:val="left" w:pos="2160"/>
        </w:tabs>
        <w:ind w:left="2160" w:hanging="2160"/>
      </w:pPr>
      <w:r>
        <w:tab/>
        <w:t xml:space="preserve">NCMC/Green Hills Head Start </w:t>
      </w:r>
      <w:r w:rsidR="00BF5251">
        <w:t xml:space="preserve">will be researching funding sources to replace playground equipment in at least two of our center locations.  </w:t>
      </w:r>
    </w:p>
    <w:p w14:paraId="177FA21D" w14:textId="77777777" w:rsidR="00891A79" w:rsidRDefault="003739DE" w:rsidP="00421FD4">
      <w:pPr>
        <w:tabs>
          <w:tab w:val="left" w:pos="2160"/>
        </w:tabs>
        <w:ind w:left="2160" w:hanging="2160"/>
      </w:pPr>
      <w:r>
        <w:tab/>
      </w:r>
    </w:p>
    <w:p w14:paraId="75D2AB34" w14:textId="523AE298" w:rsidR="003739DE" w:rsidRDefault="00891A79" w:rsidP="00421FD4">
      <w:pPr>
        <w:tabs>
          <w:tab w:val="left" w:pos="2160"/>
        </w:tabs>
        <w:ind w:left="2160" w:hanging="2160"/>
      </w:pPr>
      <w:r>
        <w:tab/>
      </w:r>
      <w:r w:rsidR="003739DE">
        <w:t>NCMC</w:t>
      </w:r>
      <w:r>
        <w:t xml:space="preserve">/Green Hills Head Start will </w:t>
      </w:r>
      <w:r w:rsidR="003F6B3B">
        <w:t xml:space="preserve">continue to work </w:t>
      </w:r>
      <w:r>
        <w:t>closely with Public School to ensure M</w:t>
      </w:r>
      <w:r w:rsidR="005C21C7">
        <w:t xml:space="preserve">emorandum of Understandings </w:t>
      </w:r>
      <w:proofErr w:type="gramStart"/>
      <w:r w:rsidR="005C21C7">
        <w:t>are</w:t>
      </w:r>
      <w:proofErr w:type="gramEnd"/>
      <w:r>
        <w:t xml:space="preserve"> created </w:t>
      </w:r>
      <w:r w:rsidR="005C21C7">
        <w:t>to meet the individual needs of</w:t>
      </w:r>
      <w:r w:rsidR="004F0E48">
        <w:t xml:space="preserve"> our </w:t>
      </w:r>
      <w:r w:rsidR="007361B3">
        <w:t>shar</w:t>
      </w:r>
      <w:r w:rsidR="004F0E48">
        <w:t>ed students</w:t>
      </w:r>
      <w:r w:rsidR="007361B3">
        <w:t xml:space="preserve">. </w:t>
      </w:r>
    </w:p>
    <w:p w14:paraId="54B1F801" w14:textId="49EEC58F" w:rsidR="007A4BE5" w:rsidRDefault="007A4BE5" w:rsidP="00421FD4">
      <w:pPr>
        <w:tabs>
          <w:tab w:val="left" w:pos="2160"/>
        </w:tabs>
        <w:ind w:left="2160" w:hanging="2160"/>
      </w:pPr>
      <w:r>
        <w:tab/>
      </w:r>
    </w:p>
    <w:p w14:paraId="681DED04" w14:textId="2946FD3E" w:rsidR="007A4BE5" w:rsidRDefault="007A4BE5" w:rsidP="00421FD4">
      <w:pPr>
        <w:tabs>
          <w:tab w:val="left" w:pos="2160"/>
        </w:tabs>
        <w:ind w:left="2160" w:hanging="2160"/>
      </w:pPr>
      <w:r>
        <w:tab/>
      </w:r>
      <w:r w:rsidR="00072995">
        <w:t xml:space="preserve">NCMC/Green Hills </w:t>
      </w:r>
      <w:r>
        <w:t xml:space="preserve">Head Start will </w:t>
      </w:r>
      <w:r w:rsidR="00072995">
        <w:t xml:space="preserve">begin implementation of Smart Connections, a Trauma Informed Training for parents.  </w:t>
      </w:r>
    </w:p>
    <w:p w14:paraId="7039123F" w14:textId="77777777" w:rsidR="003A2A37" w:rsidRDefault="003A2A37" w:rsidP="00421FD4">
      <w:pPr>
        <w:tabs>
          <w:tab w:val="left" w:pos="2160"/>
        </w:tabs>
        <w:ind w:left="2160" w:hanging="2160"/>
      </w:pPr>
    </w:p>
    <w:p w14:paraId="7E79C35A" w14:textId="6547B716" w:rsidR="00FC3799" w:rsidRPr="00232309" w:rsidRDefault="00797F6E" w:rsidP="00232309">
      <w:pPr>
        <w:tabs>
          <w:tab w:val="left" w:pos="2160"/>
        </w:tabs>
        <w:ind w:left="2160" w:hanging="2160"/>
      </w:pPr>
      <w:r>
        <w:tab/>
      </w:r>
    </w:p>
    <w:p w14:paraId="4470EDB1" w14:textId="20483F25" w:rsidR="00797F6E" w:rsidRPr="00EA6F7D" w:rsidRDefault="00797F6E" w:rsidP="00421FD4">
      <w:pPr>
        <w:tabs>
          <w:tab w:val="left" w:pos="2160"/>
        </w:tabs>
        <w:ind w:left="2160" w:hanging="2160"/>
        <w:rPr>
          <w:color w:val="FF0000"/>
        </w:rPr>
      </w:pPr>
    </w:p>
    <w:p w14:paraId="5D73BEAC" w14:textId="77777777" w:rsidR="003B1692" w:rsidRDefault="003B1692" w:rsidP="00421FD4">
      <w:pPr>
        <w:tabs>
          <w:tab w:val="left" w:pos="2160"/>
        </w:tabs>
        <w:ind w:left="2160" w:hanging="2160"/>
      </w:pPr>
    </w:p>
    <w:p w14:paraId="5077D9B9" w14:textId="77777777" w:rsidR="007678F2" w:rsidRDefault="007678F2" w:rsidP="00421FD4">
      <w:pPr>
        <w:tabs>
          <w:tab w:val="left" w:pos="2160"/>
        </w:tabs>
        <w:ind w:left="2160" w:hanging="2160"/>
      </w:pPr>
      <w:r>
        <w:t xml:space="preserve"> </w:t>
      </w:r>
    </w:p>
    <w:p w14:paraId="20E878AF" w14:textId="77777777" w:rsidR="005F4C30" w:rsidRDefault="005F4C30" w:rsidP="00F21093">
      <w:pPr>
        <w:tabs>
          <w:tab w:val="left" w:pos="2160"/>
        </w:tabs>
      </w:pPr>
    </w:p>
    <w:p w14:paraId="3F22EE06" w14:textId="77777777" w:rsidR="000C24C7" w:rsidRPr="000E05D5" w:rsidRDefault="000C24C7" w:rsidP="000E05D5">
      <w:pPr>
        <w:rPr>
          <w:sz w:val="16"/>
          <w:szCs w:val="16"/>
        </w:rPr>
      </w:pPr>
      <w:r w:rsidRPr="000E05D5">
        <w:rPr>
          <w:sz w:val="16"/>
          <w:szCs w:val="16"/>
        </w:rPr>
        <w:t xml:space="preserve">For further information, review the program website at </w:t>
      </w:r>
      <w:hyperlink r:id="rId15" w:history="1">
        <w:r w:rsidRPr="000E05D5">
          <w:rPr>
            <w:rStyle w:val="Hyperlink"/>
            <w:sz w:val="16"/>
            <w:szCs w:val="16"/>
          </w:rPr>
          <w:t>www.greenhillsheadstart.org</w:t>
        </w:r>
      </w:hyperlink>
      <w:r w:rsidRPr="000E05D5">
        <w:rPr>
          <w:sz w:val="16"/>
          <w:szCs w:val="16"/>
        </w:rPr>
        <w:t xml:space="preserve"> or contact</w:t>
      </w:r>
      <w:r w:rsidR="000E05D5" w:rsidRPr="000E05D5">
        <w:rPr>
          <w:sz w:val="16"/>
          <w:szCs w:val="16"/>
        </w:rPr>
        <w:t xml:space="preserve"> </w:t>
      </w:r>
      <w:r w:rsidRPr="000E05D5">
        <w:rPr>
          <w:sz w:val="16"/>
          <w:szCs w:val="16"/>
        </w:rPr>
        <w:t>G</w:t>
      </w:r>
      <w:r w:rsidR="000E05D5" w:rsidRPr="000E05D5">
        <w:rPr>
          <w:sz w:val="16"/>
          <w:szCs w:val="16"/>
        </w:rPr>
        <w:t>reen Hills Head Start at hskids@sbcglobal.net</w:t>
      </w:r>
    </w:p>
    <w:sectPr w:rsidR="000C24C7" w:rsidRPr="000E05D5" w:rsidSect="000E05D5">
      <w:headerReference w:type="default" r:id="rId16"/>
      <w:footerReference w:type="default" r:id="rId17"/>
      <w:pgSz w:w="12240" w:h="15840"/>
      <w:pgMar w:top="432" w:right="1080" w:bottom="432"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C74C" w14:textId="77777777" w:rsidR="00E27A75" w:rsidRDefault="00E27A75">
      <w:r>
        <w:separator/>
      </w:r>
    </w:p>
  </w:endnote>
  <w:endnote w:type="continuationSeparator" w:id="0">
    <w:p w14:paraId="7C12DB23" w14:textId="77777777" w:rsidR="00E27A75" w:rsidRDefault="00E2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nerstone">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CAA7" w14:textId="77777777" w:rsidR="002B6005" w:rsidRDefault="006E74A6" w:rsidP="002B6005">
    <w:pPr>
      <w:pStyle w:val="Footer"/>
      <w:jc w:val="center"/>
    </w:pPr>
    <w:r>
      <w:rPr>
        <w:rStyle w:val="PageNumber"/>
      </w:rPr>
      <w:fldChar w:fldCharType="begin"/>
    </w:r>
    <w:r w:rsidR="002B6005">
      <w:rPr>
        <w:rStyle w:val="PageNumber"/>
      </w:rPr>
      <w:instrText xml:space="preserve"> PAGE </w:instrText>
    </w:r>
    <w:r>
      <w:rPr>
        <w:rStyle w:val="PageNumber"/>
      </w:rPr>
      <w:fldChar w:fldCharType="separate"/>
    </w:r>
    <w:r w:rsidR="00534AA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8379" w14:textId="77777777" w:rsidR="00E27A75" w:rsidRDefault="00E27A75">
      <w:r>
        <w:separator/>
      </w:r>
    </w:p>
  </w:footnote>
  <w:footnote w:type="continuationSeparator" w:id="0">
    <w:p w14:paraId="60ED8DDA" w14:textId="77777777" w:rsidR="00E27A75" w:rsidRDefault="00E2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4827" w14:textId="77777777" w:rsidR="00DF627F" w:rsidRDefault="00DF627F" w:rsidP="00654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C04"/>
    <w:multiLevelType w:val="hybridMultilevel"/>
    <w:tmpl w:val="613CD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5249F4"/>
    <w:multiLevelType w:val="hybridMultilevel"/>
    <w:tmpl w:val="AED6F934"/>
    <w:lvl w:ilvl="0" w:tplc="0D525F44">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B1934D9"/>
    <w:multiLevelType w:val="multilevel"/>
    <w:tmpl w:val="3918D3AC"/>
    <w:lvl w:ilvl="0">
      <w:numFmt w:val="bullet"/>
      <w:lvlText w:val=""/>
      <w:lvlJc w:val="left"/>
      <w:pPr>
        <w:tabs>
          <w:tab w:val="num" w:pos="2520"/>
        </w:tabs>
        <w:ind w:left="2520" w:hanging="360"/>
      </w:pPr>
      <w:rPr>
        <w:rFonts w:ascii="Symbol" w:eastAsia="Times New Roman" w:hAnsi="Symbol" w:cs="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F6515A6"/>
    <w:multiLevelType w:val="hybridMultilevel"/>
    <w:tmpl w:val="84541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214780"/>
    <w:multiLevelType w:val="hybridMultilevel"/>
    <w:tmpl w:val="8E2A45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FD229EB"/>
    <w:multiLevelType w:val="hybridMultilevel"/>
    <w:tmpl w:val="A2700B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D84F98"/>
    <w:multiLevelType w:val="hybridMultilevel"/>
    <w:tmpl w:val="84B23F1C"/>
    <w:lvl w:ilvl="0" w:tplc="0D525F44">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1FF1AE8"/>
    <w:multiLevelType w:val="hybridMultilevel"/>
    <w:tmpl w:val="E7740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55E6AED"/>
    <w:multiLevelType w:val="hybridMultilevel"/>
    <w:tmpl w:val="29A29BD8"/>
    <w:lvl w:ilvl="0" w:tplc="1DB867B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0F67D3"/>
    <w:multiLevelType w:val="hybridMultilevel"/>
    <w:tmpl w:val="AA2AAA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B663CA"/>
    <w:multiLevelType w:val="hybridMultilevel"/>
    <w:tmpl w:val="E9723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FB90845"/>
    <w:multiLevelType w:val="hybridMultilevel"/>
    <w:tmpl w:val="9FB801EE"/>
    <w:lvl w:ilvl="0" w:tplc="936E6C64">
      <w:start w:val="200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1875469"/>
    <w:multiLevelType w:val="hybridMultilevel"/>
    <w:tmpl w:val="2788E50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6F040D5"/>
    <w:multiLevelType w:val="hybridMultilevel"/>
    <w:tmpl w:val="F5AA14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D347F7"/>
    <w:multiLevelType w:val="hybridMultilevel"/>
    <w:tmpl w:val="0FD498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0826AC2"/>
    <w:multiLevelType w:val="hybridMultilevel"/>
    <w:tmpl w:val="E8F47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3734BC0"/>
    <w:multiLevelType w:val="multilevel"/>
    <w:tmpl w:val="3918D3AC"/>
    <w:lvl w:ilvl="0">
      <w:numFmt w:val="bullet"/>
      <w:lvlText w:val=""/>
      <w:lvlJc w:val="left"/>
      <w:pPr>
        <w:tabs>
          <w:tab w:val="num" w:pos="2520"/>
        </w:tabs>
        <w:ind w:left="2520" w:hanging="360"/>
      </w:pPr>
      <w:rPr>
        <w:rFonts w:ascii="Symbol" w:eastAsia="Times New Roman" w:hAnsi="Symbol" w:cs="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C866F63"/>
    <w:multiLevelType w:val="hybridMultilevel"/>
    <w:tmpl w:val="3918D3AC"/>
    <w:lvl w:ilvl="0" w:tplc="385A312A">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500272918">
    <w:abstractNumId w:val="17"/>
  </w:num>
  <w:num w:numId="2" w16cid:durableId="540089906">
    <w:abstractNumId w:val="2"/>
  </w:num>
  <w:num w:numId="3" w16cid:durableId="1729500957">
    <w:abstractNumId w:val="1"/>
  </w:num>
  <w:num w:numId="4" w16cid:durableId="902063651">
    <w:abstractNumId w:val="16"/>
  </w:num>
  <w:num w:numId="5" w16cid:durableId="1030374320">
    <w:abstractNumId w:val="6"/>
  </w:num>
  <w:num w:numId="6" w16cid:durableId="1432386505">
    <w:abstractNumId w:val="8"/>
  </w:num>
  <w:num w:numId="7" w16cid:durableId="228348204">
    <w:abstractNumId w:val="10"/>
  </w:num>
  <w:num w:numId="8" w16cid:durableId="188951856">
    <w:abstractNumId w:val="9"/>
  </w:num>
  <w:num w:numId="9" w16cid:durableId="413741448">
    <w:abstractNumId w:val="11"/>
  </w:num>
  <w:num w:numId="10" w16cid:durableId="736127087">
    <w:abstractNumId w:val="4"/>
  </w:num>
  <w:num w:numId="11" w16cid:durableId="1036850691">
    <w:abstractNumId w:val="0"/>
  </w:num>
  <w:num w:numId="12" w16cid:durableId="1263337703">
    <w:abstractNumId w:val="3"/>
  </w:num>
  <w:num w:numId="13" w16cid:durableId="1808164103">
    <w:abstractNumId w:val="12"/>
  </w:num>
  <w:num w:numId="14" w16cid:durableId="581110706">
    <w:abstractNumId w:val="15"/>
  </w:num>
  <w:num w:numId="15" w16cid:durableId="1450394359">
    <w:abstractNumId w:val="7"/>
  </w:num>
  <w:num w:numId="16" w16cid:durableId="1709453287">
    <w:abstractNumId w:val="14"/>
  </w:num>
  <w:num w:numId="17" w16cid:durableId="1417286339">
    <w:abstractNumId w:val="13"/>
  </w:num>
  <w:num w:numId="18" w16cid:durableId="1405683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D1"/>
    <w:rsid w:val="0000103D"/>
    <w:rsid w:val="000036D8"/>
    <w:rsid w:val="00003D59"/>
    <w:rsid w:val="00012337"/>
    <w:rsid w:val="00015C45"/>
    <w:rsid w:val="00016333"/>
    <w:rsid w:val="00025050"/>
    <w:rsid w:val="00027C5E"/>
    <w:rsid w:val="000306ED"/>
    <w:rsid w:val="000340FB"/>
    <w:rsid w:val="00036AA6"/>
    <w:rsid w:val="00037861"/>
    <w:rsid w:val="000401C7"/>
    <w:rsid w:val="00040DEB"/>
    <w:rsid w:val="0004288D"/>
    <w:rsid w:val="00042E0D"/>
    <w:rsid w:val="00044D9B"/>
    <w:rsid w:val="000451A8"/>
    <w:rsid w:val="00045297"/>
    <w:rsid w:val="00045A36"/>
    <w:rsid w:val="00055DB9"/>
    <w:rsid w:val="0005602A"/>
    <w:rsid w:val="0006017B"/>
    <w:rsid w:val="000604C7"/>
    <w:rsid w:val="00061240"/>
    <w:rsid w:val="00063068"/>
    <w:rsid w:val="00063183"/>
    <w:rsid w:val="00064E1D"/>
    <w:rsid w:val="00065F78"/>
    <w:rsid w:val="00066A94"/>
    <w:rsid w:val="00067327"/>
    <w:rsid w:val="00070BA1"/>
    <w:rsid w:val="00072995"/>
    <w:rsid w:val="0007402C"/>
    <w:rsid w:val="00075A7A"/>
    <w:rsid w:val="00083B7C"/>
    <w:rsid w:val="00083D88"/>
    <w:rsid w:val="0008411C"/>
    <w:rsid w:val="00085F60"/>
    <w:rsid w:val="00086DCE"/>
    <w:rsid w:val="00090109"/>
    <w:rsid w:val="0009257D"/>
    <w:rsid w:val="00092A1C"/>
    <w:rsid w:val="00093B1E"/>
    <w:rsid w:val="00093B71"/>
    <w:rsid w:val="000A2580"/>
    <w:rsid w:val="000A2D54"/>
    <w:rsid w:val="000A3D11"/>
    <w:rsid w:val="000A5E1C"/>
    <w:rsid w:val="000B25D2"/>
    <w:rsid w:val="000B5EE8"/>
    <w:rsid w:val="000B6156"/>
    <w:rsid w:val="000C24C7"/>
    <w:rsid w:val="000C48B0"/>
    <w:rsid w:val="000C5757"/>
    <w:rsid w:val="000C68D8"/>
    <w:rsid w:val="000D0BB2"/>
    <w:rsid w:val="000D64A3"/>
    <w:rsid w:val="000D737C"/>
    <w:rsid w:val="000E05D5"/>
    <w:rsid w:val="000E195D"/>
    <w:rsid w:val="000E1E4F"/>
    <w:rsid w:val="000E43F2"/>
    <w:rsid w:val="000E6154"/>
    <w:rsid w:val="000E7FED"/>
    <w:rsid w:val="000F00A2"/>
    <w:rsid w:val="000F0CC6"/>
    <w:rsid w:val="000F1C24"/>
    <w:rsid w:val="000F2BC0"/>
    <w:rsid w:val="000F4684"/>
    <w:rsid w:val="00102B2F"/>
    <w:rsid w:val="00102ED1"/>
    <w:rsid w:val="00103FBF"/>
    <w:rsid w:val="0010536A"/>
    <w:rsid w:val="001061AD"/>
    <w:rsid w:val="00107131"/>
    <w:rsid w:val="00110AE3"/>
    <w:rsid w:val="00116013"/>
    <w:rsid w:val="001160A8"/>
    <w:rsid w:val="0012054A"/>
    <w:rsid w:val="001222FF"/>
    <w:rsid w:val="001302E7"/>
    <w:rsid w:val="00131645"/>
    <w:rsid w:val="001316E9"/>
    <w:rsid w:val="0013177D"/>
    <w:rsid w:val="00132786"/>
    <w:rsid w:val="001357E5"/>
    <w:rsid w:val="001362BC"/>
    <w:rsid w:val="00141C8D"/>
    <w:rsid w:val="00142056"/>
    <w:rsid w:val="00142BD6"/>
    <w:rsid w:val="0014345F"/>
    <w:rsid w:val="00143FC0"/>
    <w:rsid w:val="0014553E"/>
    <w:rsid w:val="0014709D"/>
    <w:rsid w:val="00147CE5"/>
    <w:rsid w:val="00147D0A"/>
    <w:rsid w:val="001505C9"/>
    <w:rsid w:val="00150823"/>
    <w:rsid w:val="001508A2"/>
    <w:rsid w:val="00152398"/>
    <w:rsid w:val="001533C0"/>
    <w:rsid w:val="00157CB7"/>
    <w:rsid w:val="00163FB3"/>
    <w:rsid w:val="0016501A"/>
    <w:rsid w:val="001708E1"/>
    <w:rsid w:val="00171F72"/>
    <w:rsid w:val="00172A59"/>
    <w:rsid w:val="00172A7D"/>
    <w:rsid w:val="00174987"/>
    <w:rsid w:val="001757AB"/>
    <w:rsid w:val="00181C8C"/>
    <w:rsid w:val="00185D0D"/>
    <w:rsid w:val="00192738"/>
    <w:rsid w:val="0019498D"/>
    <w:rsid w:val="00195D7C"/>
    <w:rsid w:val="001968EB"/>
    <w:rsid w:val="001968EE"/>
    <w:rsid w:val="001A0E52"/>
    <w:rsid w:val="001A1AAF"/>
    <w:rsid w:val="001A61A6"/>
    <w:rsid w:val="001B0EB9"/>
    <w:rsid w:val="001B1D7D"/>
    <w:rsid w:val="001B3F9D"/>
    <w:rsid w:val="001B41DF"/>
    <w:rsid w:val="001C07C2"/>
    <w:rsid w:val="001C2CBC"/>
    <w:rsid w:val="001C49A0"/>
    <w:rsid w:val="001C6812"/>
    <w:rsid w:val="001C6C8F"/>
    <w:rsid w:val="001D3724"/>
    <w:rsid w:val="001D42CC"/>
    <w:rsid w:val="001D4894"/>
    <w:rsid w:val="001D64E6"/>
    <w:rsid w:val="001E277E"/>
    <w:rsid w:val="001E2E76"/>
    <w:rsid w:val="001E3170"/>
    <w:rsid w:val="001E3314"/>
    <w:rsid w:val="001E3615"/>
    <w:rsid w:val="001F0370"/>
    <w:rsid w:val="001F249E"/>
    <w:rsid w:val="001F2E27"/>
    <w:rsid w:val="001F4D27"/>
    <w:rsid w:val="001F56B1"/>
    <w:rsid w:val="00200C36"/>
    <w:rsid w:val="00203455"/>
    <w:rsid w:val="00204EB0"/>
    <w:rsid w:val="00205A81"/>
    <w:rsid w:val="00206D00"/>
    <w:rsid w:val="00211347"/>
    <w:rsid w:val="002137DE"/>
    <w:rsid w:val="00213CEC"/>
    <w:rsid w:val="00214C33"/>
    <w:rsid w:val="002170D5"/>
    <w:rsid w:val="0021727C"/>
    <w:rsid w:val="002209E1"/>
    <w:rsid w:val="00222007"/>
    <w:rsid w:val="00223A42"/>
    <w:rsid w:val="00223B25"/>
    <w:rsid w:val="002316D9"/>
    <w:rsid w:val="00232309"/>
    <w:rsid w:val="00232BD8"/>
    <w:rsid w:val="00234D80"/>
    <w:rsid w:val="0023551C"/>
    <w:rsid w:val="00237D26"/>
    <w:rsid w:val="00245F21"/>
    <w:rsid w:val="00250B9B"/>
    <w:rsid w:val="002524FA"/>
    <w:rsid w:val="00252A2F"/>
    <w:rsid w:val="002533E0"/>
    <w:rsid w:val="00253D44"/>
    <w:rsid w:val="00253FAE"/>
    <w:rsid w:val="002548EF"/>
    <w:rsid w:val="002555B5"/>
    <w:rsid w:val="00260D39"/>
    <w:rsid w:val="002666C4"/>
    <w:rsid w:val="002668C3"/>
    <w:rsid w:val="00267109"/>
    <w:rsid w:val="00267899"/>
    <w:rsid w:val="0027200C"/>
    <w:rsid w:val="00272D0F"/>
    <w:rsid w:val="002742F7"/>
    <w:rsid w:val="002771AE"/>
    <w:rsid w:val="002833F0"/>
    <w:rsid w:val="002839C8"/>
    <w:rsid w:val="00284956"/>
    <w:rsid w:val="00286F21"/>
    <w:rsid w:val="00290A22"/>
    <w:rsid w:val="00290B81"/>
    <w:rsid w:val="0029441D"/>
    <w:rsid w:val="00294BCA"/>
    <w:rsid w:val="002974D8"/>
    <w:rsid w:val="002A0150"/>
    <w:rsid w:val="002A07C1"/>
    <w:rsid w:val="002A22D9"/>
    <w:rsid w:val="002A22E9"/>
    <w:rsid w:val="002A714F"/>
    <w:rsid w:val="002B55BD"/>
    <w:rsid w:val="002B5D3B"/>
    <w:rsid w:val="002B6005"/>
    <w:rsid w:val="002C11DB"/>
    <w:rsid w:val="002C3878"/>
    <w:rsid w:val="002C4AA0"/>
    <w:rsid w:val="002C6CBE"/>
    <w:rsid w:val="002C7058"/>
    <w:rsid w:val="002C771F"/>
    <w:rsid w:val="002C7B9D"/>
    <w:rsid w:val="002D0CC2"/>
    <w:rsid w:val="002D1B42"/>
    <w:rsid w:val="002D21DD"/>
    <w:rsid w:val="002E0D26"/>
    <w:rsid w:val="002E11CF"/>
    <w:rsid w:val="002E19EE"/>
    <w:rsid w:val="002E4E4B"/>
    <w:rsid w:val="002E7AB6"/>
    <w:rsid w:val="002F18A2"/>
    <w:rsid w:val="002F3C9E"/>
    <w:rsid w:val="003007DD"/>
    <w:rsid w:val="00300EFD"/>
    <w:rsid w:val="00302189"/>
    <w:rsid w:val="00302C97"/>
    <w:rsid w:val="00306310"/>
    <w:rsid w:val="003137FC"/>
    <w:rsid w:val="003139DE"/>
    <w:rsid w:val="00313C66"/>
    <w:rsid w:val="00321330"/>
    <w:rsid w:val="003216E8"/>
    <w:rsid w:val="00324083"/>
    <w:rsid w:val="003247B9"/>
    <w:rsid w:val="00327F8C"/>
    <w:rsid w:val="003330D3"/>
    <w:rsid w:val="00341779"/>
    <w:rsid w:val="00343CE1"/>
    <w:rsid w:val="00353BA0"/>
    <w:rsid w:val="00354F4D"/>
    <w:rsid w:val="003550D7"/>
    <w:rsid w:val="00355A19"/>
    <w:rsid w:val="00356452"/>
    <w:rsid w:val="00356551"/>
    <w:rsid w:val="00357E07"/>
    <w:rsid w:val="00360257"/>
    <w:rsid w:val="00362DBD"/>
    <w:rsid w:val="00363574"/>
    <w:rsid w:val="00365DBE"/>
    <w:rsid w:val="00366721"/>
    <w:rsid w:val="0036766D"/>
    <w:rsid w:val="00370787"/>
    <w:rsid w:val="00370DB2"/>
    <w:rsid w:val="00371A20"/>
    <w:rsid w:val="00371F9C"/>
    <w:rsid w:val="003739DE"/>
    <w:rsid w:val="00374F48"/>
    <w:rsid w:val="00381FBA"/>
    <w:rsid w:val="00384345"/>
    <w:rsid w:val="00385A3D"/>
    <w:rsid w:val="00390440"/>
    <w:rsid w:val="00392F4D"/>
    <w:rsid w:val="00393B83"/>
    <w:rsid w:val="00394338"/>
    <w:rsid w:val="003946C0"/>
    <w:rsid w:val="003A1282"/>
    <w:rsid w:val="003A2A37"/>
    <w:rsid w:val="003A35DA"/>
    <w:rsid w:val="003A4AA8"/>
    <w:rsid w:val="003A50BE"/>
    <w:rsid w:val="003A6171"/>
    <w:rsid w:val="003A6407"/>
    <w:rsid w:val="003A6BE3"/>
    <w:rsid w:val="003B1692"/>
    <w:rsid w:val="003B1C81"/>
    <w:rsid w:val="003C1535"/>
    <w:rsid w:val="003C24D6"/>
    <w:rsid w:val="003C3029"/>
    <w:rsid w:val="003C4615"/>
    <w:rsid w:val="003C5302"/>
    <w:rsid w:val="003D0A52"/>
    <w:rsid w:val="003D2F20"/>
    <w:rsid w:val="003D38DA"/>
    <w:rsid w:val="003D4347"/>
    <w:rsid w:val="003E1566"/>
    <w:rsid w:val="003E3769"/>
    <w:rsid w:val="003E6666"/>
    <w:rsid w:val="003E67A5"/>
    <w:rsid w:val="003E726C"/>
    <w:rsid w:val="003E7654"/>
    <w:rsid w:val="003E7ADD"/>
    <w:rsid w:val="003E7F84"/>
    <w:rsid w:val="003F0187"/>
    <w:rsid w:val="003F128F"/>
    <w:rsid w:val="003F1BCA"/>
    <w:rsid w:val="003F6B0E"/>
    <w:rsid w:val="003F6B3B"/>
    <w:rsid w:val="00401229"/>
    <w:rsid w:val="0040216A"/>
    <w:rsid w:val="00405B9E"/>
    <w:rsid w:val="00407A6B"/>
    <w:rsid w:val="00407E5D"/>
    <w:rsid w:val="00410FFF"/>
    <w:rsid w:val="00415B12"/>
    <w:rsid w:val="00415DD0"/>
    <w:rsid w:val="00417126"/>
    <w:rsid w:val="0041788F"/>
    <w:rsid w:val="004218B8"/>
    <w:rsid w:val="00421FD4"/>
    <w:rsid w:val="00427C5A"/>
    <w:rsid w:val="00431AC1"/>
    <w:rsid w:val="00431D02"/>
    <w:rsid w:val="00432E7A"/>
    <w:rsid w:val="00434A54"/>
    <w:rsid w:val="00440C1C"/>
    <w:rsid w:val="0044141F"/>
    <w:rsid w:val="00441B53"/>
    <w:rsid w:val="00443082"/>
    <w:rsid w:val="00443143"/>
    <w:rsid w:val="00444078"/>
    <w:rsid w:val="004464D0"/>
    <w:rsid w:val="00446D31"/>
    <w:rsid w:val="0044787C"/>
    <w:rsid w:val="004525D8"/>
    <w:rsid w:val="00453EE7"/>
    <w:rsid w:val="00455145"/>
    <w:rsid w:val="00455170"/>
    <w:rsid w:val="00456143"/>
    <w:rsid w:val="00460606"/>
    <w:rsid w:val="0046278F"/>
    <w:rsid w:val="004649E0"/>
    <w:rsid w:val="00465D07"/>
    <w:rsid w:val="00466ACB"/>
    <w:rsid w:val="00467FBE"/>
    <w:rsid w:val="0047225D"/>
    <w:rsid w:val="0047530F"/>
    <w:rsid w:val="0047715C"/>
    <w:rsid w:val="00482531"/>
    <w:rsid w:val="004915C5"/>
    <w:rsid w:val="00491791"/>
    <w:rsid w:val="0049271D"/>
    <w:rsid w:val="00494BE4"/>
    <w:rsid w:val="004973A3"/>
    <w:rsid w:val="004A4664"/>
    <w:rsid w:val="004A4CAE"/>
    <w:rsid w:val="004A7C81"/>
    <w:rsid w:val="004A7E5C"/>
    <w:rsid w:val="004B09A2"/>
    <w:rsid w:val="004B42F4"/>
    <w:rsid w:val="004C16D4"/>
    <w:rsid w:val="004C197E"/>
    <w:rsid w:val="004C386F"/>
    <w:rsid w:val="004C46BD"/>
    <w:rsid w:val="004C667C"/>
    <w:rsid w:val="004D004A"/>
    <w:rsid w:val="004D125B"/>
    <w:rsid w:val="004D2581"/>
    <w:rsid w:val="004D2B0C"/>
    <w:rsid w:val="004D4F39"/>
    <w:rsid w:val="004D5411"/>
    <w:rsid w:val="004E0D43"/>
    <w:rsid w:val="004E1D37"/>
    <w:rsid w:val="004E5AD1"/>
    <w:rsid w:val="004F0E48"/>
    <w:rsid w:val="004F3A62"/>
    <w:rsid w:val="004F6B57"/>
    <w:rsid w:val="004F744E"/>
    <w:rsid w:val="004F7B74"/>
    <w:rsid w:val="005005C6"/>
    <w:rsid w:val="00503E51"/>
    <w:rsid w:val="00505D57"/>
    <w:rsid w:val="005132CF"/>
    <w:rsid w:val="00515A37"/>
    <w:rsid w:val="0052140E"/>
    <w:rsid w:val="00521442"/>
    <w:rsid w:val="00523CCE"/>
    <w:rsid w:val="00527877"/>
    <w:rsid w:val="0053000C"/>
    <w:rsid w:val="005342B0"/>
    <w:rsid w:val="00534AA9"/>
    <w:rsid w:val="00537D55"/>
    <w:rsid w:val="005403D3"/>
    <w:rsid w:val="00544EFC"/>
    <w:rsid w:val="00547EA3"/>
    <w:rsid w:val="005501BA"/>
    <w:rsid w:val="00552374"/>
    <w:rsid w:val="005533E6"/>
    <w:rsid w:val="005551F0"/>
    <w:rsid w:val="005552EF"/>
    <w:rsid w:val="0055790A"/>
    <w:rsid w:val="005665E2"/>
    <w:rsid w:val="00572360"/>
    <w:rsid w:val="00573162"/>
    <w:rsid w:val="00573DFE"/>
    <w:rsid w:val="005772A6"/>
    <w:rsid w:val="00581F0A"/>
    <w:rsid w:val="00582D9E"/>
    <w:rsid w:val="00582E1F"/>
    <w:rsid w:val="00583B04"/>
    <w:rsid w:val="00584399"/>
    <w:rsid w:val="00586AA5"/>
    <w:rsid w:val="00587243"/>
    <w:rsid w:val="0058757F"/>
    <w:rsid w:val="00591059"/>
    <w:rsid w:val="00591DFB"/>
    <w:rsid w:val="00592181"/>
    <w:rsid w:val="00593EE0"/>
    <w:rsid w:val="0059466A"/>
    <w:rsid w:val="0059510B"/>
    <w:rsid w:val="00596CBD"/>
    <w:rsid w:val="005A0FE2"/>
    <w:rsid w:val="005A1CD5"/>
    <w:rsid w:val="005A4D16"/>
    <w:rsid w:val="005A5211"/>
    <w:rsid w:val="005A5243"/>
    <w:rsid w:val="005A5D6B"/>
    <w:rsid w:val="005A5FD1"/>
    <w:rsid w:val="005A795A"/>
    <w:rsid w:val="005B16CC"/>
    <w:rsid w:val="005B20E8"/>
    <w:rsid w:val="005B38C8"/>
    <w:rsid w:val="005B7E45"/>
    <w:rsid w:val="005C1262"/>
    <w:rsid w:val="005C1915"/>
    <w:rsid w:val="005C21C7"/>
    <w:rsid w:val="005C5AE9"/>
    <w:rsid w:val="005C60E9"/>
    <w:rsid w:val="005D1AA5"/>
    <w:rsid w:val="005D20CF"/>
    <w:rsid w:val="005D76A0"/>
    <w:rsid w:val="005D76DD"/>
    <w:rsid w:val="005E24A3"/>
    <w:rsid w:val="005E4C12"/>
    <w:rsid w:val="005E56CA"/>
    <w:rsid w:val="005E67AD"/>
    <w:rsid w:val="005E7138"/>
    <w:rsid w:val="005F065A"/>
    <w:rsid w:val="005F348D"/>
    <w:rsid w:val="005F4C30"/>
    <w:rsid w:val="005F6C95"/>
    <w:rsid w:val="00603151"/>
    <w:rsid w:val="00604BB8"/>
    <w:rsid w:val="00605C1F"/>
    <w:rsid w:val="00606598"/>
    <w:rsid w:val="00606DDE"/>
    <w:rsid w:val="00607E3A"/>
    <w:rsid w:val="00611F49"/>
    <w:rsid w:val="0061397E"/>
    <w:rsid w:val="006139AB"/>
    <w:rsid w:val="00613C57"/>
    <w:rsid w:val="006173D4"/>
    <w:rsid w:val="00617761"/>
    <w:rsid w:val="006206F8"/>
    <w:rsid w:val="00623548"/>
    <w:rsid w:val="006240A0"/>
    <w:rsid w:val="006262E6"/>
    <w:rsid w:val="006279E9"/>
    <w:rsid w:val="00630003"/>
    <w:rsid w:val="0063030D"/>
    <w:rsid w:val="00634F33"/>
    <w:rsid w:val="00637CD2"/>
    <w:rsid w:val="00640E06"/>
    <w:rsid w:val="00641011"/>
    <w:rsid w:val="0064142B"/>
    <w:rsid w:val="00641AAD"/>
    <w:rsid w:val="00641EE1"/>
    <w:rsid w:val="00642D9B"/>
    <w:rsid w:val="006430CE"/>
    <w:rsid w:val="0064357A"/>
    <w:rsid w:val="00643766"/>
    <w:rsid w:val="0064388C"/>
    <w:rsid w:val="0064459C"/>
    <w:rsid w:val="00644842"/>
    <w:rsid w:val="00645F51"/>
    <w:rsid w:val="00650397"/>
    <w:rsid w:val="00652EF3"/>
    <w:rsid w:val="006543EA"/>
    <w:rsid w:val="00654D11"/>
    <w:rsid w:val="006553CA"/>
    <w:rsid w:val="0066035B"/>
    <w:rsid w:val="006611BA"/>
    <w:rsid w:val="006620E0"/>
    <w:rsid w:val="00663682"/>
    <w:rsid w:val="006644E4"/>
    <w:rsid w:val="006646AF"/>
    <w:rsid w:val="00671A54"/>
    <w:rsid w:val="006724E4"/>
    <w:rsid w:val="0067391B"/>
    <w:rsid w:val="00673D4E"/>
    <w:rsid w:val="00674211"/>
    <w:rsid w:val="0067559F"/>
    <w:rsid w:val="006757B9"/>
    <w:rsid w:val="006840FE"/>
    <w:rsid w:val="006922F9"/>
    <w:rsid w:val="00694241"/>
    <w:rsid w:val="0069426D"/>
    <w:rsid w:val="006A100F"/>
    <w:rsid w:val="006A287D"/>
    <w:rsid w:val="006A4D57"/>
    <w:rsid w:val="006A58B2"/>
    <w:rsid w:val="006B0579"/>
    <w:rsid w:val="006B1888"/>
    <w:rsid w:val="006B1C32"/>
    <w:rsid w:val="006B1C44"/>
    <w:rsid w:val="006B4FD2"/>
    <w:rsid w:val="006B5385"/>
    <w:rsid w:val="006B5C97"/>
    <w:rsid w:val="006C4E8A"/>
    <w:rsid w:val="006C5599"/>
    <w:rsid w:val="006C6313"/>
    <w:rsid w:val="006D1A7F"/>
    <w:rsid w:val="006D2F46"/>
    <w:rsid w:val="006D47BB"/>
    <w:rsid w:val="006D484A"/>
    <w:rsid w:val="006D4E9E"/>
    <w:rsid w:val="006D573F"/>
    <w:rsid w:val="006E19A4"/>
    <w:rsid w:val="006E4994"/>
    <w:rsid w:val="006E52E2"/>
    <w:rsid w:val="006E5EF7"/>
    <w:rsid w:val="006E6CD1"/>
    <w:rsid w:val="006E722A"/>
    <w:rsid w:val="006E74A6"/>
    <w:rsid w:val="006F0E23"/>
    <w:rsid w:val="006F14CC"/>
    <w:rsid w:val="006F3498"/>
    <w:rsid w:val="006F3D97"/>
    <w:rsid w:val="006F47F1"/>
    <w:rsid w:val="006F58B0"/>
    <w:rsid w:val="006F5EBE"/>
    <w:rsid w:val="00700A7A"/>
    <w:rsid w:val="007014A4"/>
    <w:rsid w:val="00703F1A"/>
    <w:rsid w:val="00703FEB"/>
    <w:rsid w:val="0070499F"/>
    <w:rsid w:val="00710A35"/>
    <w:rsid w:val="007146C5"/>
    <w:rsid w:val="00715B68"/>
    <w:rsid w:val="00716610"/>
    <w:rsid w:val="00722F1B"/>
    <w:rsid w:val="00724EEB"/>
    <w:rsid w:val="00725533"/>
    <w:rsid w:val="0072657B"/>
    <w:rsid w:val="00727BBE"/>
    <w:rsid w:val="00731713"/>
    <w:rsid w:val="00731D65"/>
    <w:rsid w:val="00733338"/>
    <w:rsid w:val="00735EDD"/>
    <w:rsid w:val="007361B3"/>
    <w:rsid w:val="007366EE"/>
    <w:rsid w:val="00736E18"/>
    <w:rsid w:val="0074284D"/>
    <w:rsid w:val="00744385"/>
    <w:rsid w:val="00745E07"/>
    <w:rsid w:val="00750831"/>
    <w:rsid w:val="00753462"/>
    <w:rsid w:val="00754AC3"/>
    <w:rsid w:val="00760346"/>
    <w:rsid w:val="00763440"/>
    <w:rsid w:val="00763C24"/>
    <w:rsid w:val="007678F2"/>
    <w:rsid w:val="00773248"/>
    <w:rsid w:val="007802CD"/>
    <w:rsid w:val="00780DDE"/>
    <w:rsid w:val="007810F3"/>
    <w:rsid w:val="007812BC"/>
    <w:rsid w:val="00782BC6"/>
    <w:rsid w:val="007846EF"/>
    <w:rsid w:val="00785905"/>
    <w:rsid w:val="00786BDE"/>
    <w:rsid w:val="00787942"/>
    <w:rsid w:val="00787DBC"/>
    <w:rsid w:val="007919A4"/>
    <w:rsid w:val="00791B88"/>
    <w:rsid w:val="0079593E"/>
    <w:rsid w:val="007964F4"/>
    <w:rsid w:val="0079673E"/>
    <w:rsid w:val="00797418"/>
    <w:rsid w:val="00797F6E"/>
    <w:rsid w:val="007A4BE5"/>
    <w:rsid w:val="007B5BB8"/>
    <w:rsid w:val="007C03FA"/>
    <w:rsid w:val="007C2A77"/>
    <w:rsid w:val="007C695E"/>
    <w:rsid w:val="007C6A20"/>
    <w:rsid w:val="007C6DA8"/>
    <w:rsid w:val="007C746E"/>
    <w:rsid w:val="007C7867"/>
    <w:rsid w:val="007C7C4F"/>
    <w:rsid w:val="007D42DA"/>
    <w:rsid w:val="007D4F2F"/>
    <w:rsid w:val="007D72B1"/>
    <w:rsid w:val="007E14C0"/>
    <w:rsid w:val="007E6271"/>
    <w:rsid w:val="007F015B"/>
    <w:rsid w:val="0080278F"/>
    <w:rsid w:val="00803AF8"/>
    <w:rsid w:val="00807686"/>
    <w:rsid w:val="008145ED"/>
    <w:rsid w:val="00816DDE"/>
    <w:rsid w:val="00816FFD"/>
    <w:rsid w:val="00817ECD"/>
    <w:rsid w:val="00820543"/>
    <w:rsid w:val="00821283"/>
    <w:rsid w:val="00822650"/>
    <w:rsid w:val="00822913"/>
    <w:rsid w:val="00822F41"/>
    <w:rsid w:val="008247DE"/>
    <w:rsid w:val="00824C29"/>
    <w:rsid w:val="00825E46"/>
    <w:rsid w:val="00831C65"/>
    <w:rsid w:val="00831E98"/>
    <w:rsid w:val="00834FCE"/>
    <w:rsid w:val="00836CCA"/>
    <w:rsid w:val="0083711A"/>
    <w:rsid w:val="00841282"/>
    <w:rsid w:val="00842BDA"/>
    <w:rsid w:val="008450B1"/>
    <w:rsid w:val="008466B5"/>
    <w:rsid w:val="00847E5D"/>
    <w:rsid w:val="00850519"/>
    <w:rsid w:val="00852A0A"/>
    <w:rsid w:val="00853839"/>
    <w:rsid w:val="00856278"/>
    <w:rsid w:val="0086788A"/>
    <w:rsid w:val="00870231"/>
    <w:rsid w:val="0087187B"/>
    <w:rsid w:val="00873091"/>
    <w:rsid w:val="00873DDD"/>
    <w:rsid w:val="00877940"/>
    <w:rsid w:val="00880BCA"/>
    <w:rsid w:val="008859AF"/>
    <w:rsid w:val="00887A62"/>
    <w:rsid w:val="00887BD4"/>
    <w:rsid w:val="008913AE"/>
    <w:rsid w:val="00891A79"/>
    <w:rsid w:val="00892F30"/>
    <w:rsid w:val="008932F8"/>
    <w:rsid w:val="0089408A"/>
    <w:rsid w:val="00896635"/>
    <w:rsid w:val="008A12C5"/>
    <w:rsid w:val="008A1518"/>
    <w:rsid w:val="008A171C"/>
    <w:rsid w:val="008A3C15"/>
    <w:rsid w:val="008A54F4"/>
    <w:rsid w:val="008A737D"/>
    <w:rsid w:val="008B035A"/>
    <w:rsid w:val="008B5CE3"/>
    <w:rsid w:val="008C4838"/>
    <w:rsid w:val="008C7A8C"/>
    <w:rsid w:val="008D3893"/>
    <w:rsid w:val="008D4ACD"/>
    <w:rsid w:val="008D5007"/>
    <w:rsid w:val="008D5191"/>
    <w:rsid w:val="008D52CF"/>
    <w:rsid w:val="008D5371"/>
    <w:rsid w:val="008D5FF7"/>
    <w:rsid w:val="008E4F65"/>
    <w:rsid w:val="008E5E88"/>
    <w:rsid w:val="008F1FEC"/>
    <w:rsid w:val="008F3904"/>
    <w:rsid w:val="008F47F7"/>
    <w:rsid w:val="008F49A9"/>
    <w:rsid w:val="008F518A"/>
    <w:rsid w:val="008F6257"/>
    <w:rsid w:val="008F680C"/>
    <w:rsid w:val="008F736C"/>
    <w:rsid w:val="009026CA"/>
    <w:rsid w:val="00902E72"/>
    <w:rsid w:val="00903FFA"/>
    <w:rsid w:val="00905430"/>
    <w:rsid w:val="00905B73"/>
    <w:rsid w:val="00914856"/>
    <w:rsid w:val="00922C5C"/>
    <w:rsid w:val="00923173"/>
    <w:rsid w:val="0092762D"/>
    <w:rsid w:val="00927B5D"/>
    <w:rsid w:val="00931AC2"/>
    <w:rsid w:val="009322C7"/>
    <w:rsid w:val="009325A2"/>
    <w:rsid w:val="0093506B"/>
    <w:rsid w:val="0093584B"/>
    <w:rsid w:val="00937B18"/>
    <w:rsid w:val="0094031A"/>
    <w:rsid w:val="00940B04"/>
    <w:rsid w:val="009430B3"/>
    <w:rsid w:val="00944319"/>
    <w:rsid w:val="0094540D"/>
    <w:rsid w:val="00945C8F"/>
    <w:rsid w:val="0095090A"/>
    <w:rsid w:val="009538A5"/>
    <w:rsid w:val="00954506"/>
    <w:rsid w:val="00956D5D"/>
    <w:rsid w:val="00965C55"/>
    <w:rsid w:val="009663DE"/>
    <w:rsid w:val="00970586"/>
    <w:rsid w:val="00972CB5"/>
    <w:rsid w:val="009744B6"/>
    <w:rsid w:val="00976201"/>
    <w:rsid w:val="00981549"/>
    <w:rsid w:val="009832FF"/>
    <w:rsid w:val="00987BF7"/>
    <w:rsid w:val="00994383"/>
    <w:rsid w:val="00995A6D"/>
    <w:rsid w:val="009971E0"/>
    <w:rsid w:val="009979A6"/>
    <w:rsid w:val="009A0787"/>
    <w:rsid w:val="009A11EF"/>
    <w:rsid w:val="009A251C"/>
    <w:rsid w:val="009A2EDE"/>
    <w:rsid w:val="009A30AE"/>
    <w:rsid w:val="009A5DEB"/>
    <w:rsid w:val="009A6AEB"/>
    <w:rsid w:val="009B2543"/>
    <w:rsid w:val="009B3062"/>
    <w:rsid w:val="009B41E7"/>
    <w:rsid w:val="009B613B"/>
    <w:rsid w:val="009B74DE"/>
    <w:rsid w:val="009C241E"/>
    <w:rsid w:val="009C4843"/>
    <w:rsid w:val="009C55D5"/>
    <w:rsid w:val="009D28E9"/>
    <w:rsid w:val="009D46E8"/>
    <w:rsid w:val="009D5F19"/>
    <w:rsid w:val="009D70EF"/>
    <w:rsid w:val="009E227A"/>
    <w:rsid w:val="009E27A1"/>
    <w:rsid w:val="009E2B02"/>
    <w:rsid w:val="009E5222"/>
    <w:rsid w:val="009E64FE"/>
    <w:rsid w:val="009F0621"/>
    <w:rsid w:val="009F1C72"/>
    <w:rsid w:val="009F2B90"/>
    <w:rsid w:val="009F49DE"/>
    <w:rsid w:val="009F5D28"/>
    <w:rsid w:val="009F600A"/>
    <w:rsid w:val="009F7D7E"/>
    <w:rsid w:val="00A0281C"/>
    <w:rsid w:val="00A034D4"/>
    <w:rsid w:val="00A05C5E"/>
    <w:rsid w:val="00A06359"/>
    <w:rsid w:val="00A07BC5"/>
    <w:rsid w:val="00A10492"/>
    <w:rsid w:val="00A2196F"/>
    <w:rsid w:val="00A22C66"/>
    <w:rsid w:val="00A24488"/>
    <w:rsid w:val="00A25744"/>
    <w:rsid w:val="00A25CD0"/>
    <w:rsid w:val="00A26F52"/>
    <w:rsid w:val="00A27ED4"/>
    <w:rsid w:val="00A311E0"/>
    <w:rsid w:val="00A31A7D"/>
    <w:rsid w:val="00A3331C"/>
    <w:rsid w:val="00A33890"/>
    <w:rsid w:val="00A372A2"/>
    <w:rsid w:val="00A4069E"/>
    <w:rsid w:val="00A40842"/>
    <w:rsid w:val="00A40A8E"/>
    <w:rsid w:val="00A40DB3"/>
    <w:rsid w:val="00A4541B"/>
    <w:rsid w:val="00A45F44"/>
    <w:rsid w:val="00A503BD"/>
    <w:rsid w:val="00A50873"/>
    <w:rsid w:val="00A51E49"/>
    <w:rsid w:val="00A52151"/>
    <w:rsid w:val="00A5217E"/>
    <w:rsid w:val="00A55975"/>
    <w:rsid w:val="00A55A6C"/>
    <w:rsid w:val="00A5606D"/>
    <w:rsid w:val="00A56A83"/>
    <w:rsid w:val="00A56F34"/>
    <w:rsid w:val="00A63999"/>
    <w:rsid w:val="00A66885"/>
    <w:rsid w:val="00A70267"/>
    <w:rsid w:val="00A73B3E"/>
    <w:rsid w:val="00A76382"/>
    <w:rsid w:val="00A77110"/>
    <w:rsid w:val="00A77B51"/>
    <w:rsid w:val="00A800A0"/>
    <w:rsid w:val="00A8234D"/>
    <w:rsid w:val="00A844DB"/>
    <w:rsid w:val="00A85D6F"/>
    <w:rsid w:val="00A86F60"/>
    <w:rsid w:val="00A86F94"/>
    <w:rsid w:val="00A87BE6"/>
    <w:rsid w:val="00A94D85"/>
    <w:rsid w:val="00A95BF8"/>
    <w:rsid w:val="00A97F7F"/>
    <w:rsid w:val="00AA2D47"/>
    <w:rsid w:val="00AA375C"/>
    <w:rsid w:val="00AA45EB"/>
    <w:rsid w:val="00AA5854"/>
    <w:rsid w:val="00AB3D39"/>
    <w:rsid w:val="00AC6E3E"/>
    <w:rsid w:val="00AC72B2"/>
    <w:rsid w:val="00AC73B1"/>
    <w:rsid w:val="00AD1409"/>
    <w:rsid w:val="00AD3482"/>
    <w:rsid w:val="00AD3A52"/>
    <w:rsid w:val="00AD41D0"/>
    <w:rsid w:val="00AE067C"/>
    <w:rsid w:val="00AE070B"/>
    <w:rsid w:val="00AE089E"/>
    <w:rsid w:val="00AE121D"/>
    <w:rsid w:val="00AE1D9E"/>
    <w:rsid w:val="00AE2260"/>
    <w:rsid w:val="00AE36AB"/>
    <w:rsid w:val="00AE523E"/>
    <w:rsid w:val="00AE535C"/>
    <w:rsid w:val="00AE691C"/>
    <w:rsid w:val="00AE7B92"/>
    <w:rsid w:val="00AF0B26"/>
    <w:rsid w:val="00AF7913"/>
    <w:rsid w:val="00B02AAB"/>
    <w:rsid w:val="00B049B4"/>
    <w:rsid w:val="00B064F0"/>
    <w:rsid w:val="00B13B06"/>
    <w:rsid w:val="00B140B5"/>
    <w:rsid w:val="00B15A8B"/>
    <w:rsid w:val="00B17261"/>
    <w:rsid w:val="00B24736"/>
    <w:rsid w:val="00B30507"/>
    <w:rsid w:val="00B37B3B"/>
    <w:rsid w:val="00B40E85"/>
    <w:rsid w:val="00B4212E"/>
    <w:rsid w:val="00B42896"/>
    <w:rsid w:val="00B430BC"/>
    <w:rsid w:val="00B4438E"/>
    <w:rsid w:val="00B448C7"/>
    <w:rsid w:val="00B46170"/>
    <w:rsid w:val="00B46CF3"/>
    <w:rsid w:val="00B474FB"/>
    <w:rsid w:val="00B50D53"/>
    <w:rsid w:val="00B530AD"/>
    <w:rsid w:val="00B56DC7"/>
    <w:rsid w:val="00B56F79"/>
    <w:rsid w:val="00B5777C"/>
    <w:rsid w:val="00B60949"/>
    <w:rsid w:val="00B60CEC"/>
    <w:rsid w:val="00B65AFD"/>
    <w:rsid w:val="00B65F1B"/>
    <w:rsid w:val="00B6685A"/>
    <w:rsid w:val="00B67B98"/>
    <w:rsid w:val="00B75455"/>
    <w:rsid w:val="00B75C7E"/>
    <w:rsid w:val="00B76210"/>
    <w:rsid w:val="00B809D8"/>
    <w:rsid w:val="00B82AA4"/>
    <w:rsid w:val="00B82BE2"/>
    <w:rsid w:val="00B843D3"/>
    <w:rsid w:val="00B857E5"/>
    <w:rsid w:val="00B859FF"/>
    <w:rsid w:val="00B91C2D"/>
    <w:rsid w:val="00B9310A"/>
    <w:rsid w:val="00B95D99"/>
    <w:rsid w:val="00BA02AF"/>
    <w:rsid w:val="00BA173A"/>
    <w:rsid w:val="00BA1AB1"/>
    <w:rsid w:val="00BA52C5"/>
    <w:rsid w:val="00BA6530"/>
    <w:rsid w:val="00BA6781"/>
    <w:rsid w:val="00BA6A30"/>
    <w:rsid w:val="00BA7869"/>
    <w:rsid w:val="00BB0481"/>
    <w:rsid w:val="00BB4194"/>
    <w:rsid w:val="00BB63E5"/>
    <w:rsid w:val="00BB6B36"/>
    <w:rsid w:val="00BB75CD"/>
    <w:rsid w:val="00BC00E3"/>
    <w:rsid w:val="00BC299B"/>
    <w:rsid w:val="00BC472D"/>
    <w:rsid w:val="00BC6FE8"/>
    <w:rsid w:val="00BC753F"/>
    <w:rsid w:val="00BC761A"/>
    <w:rsid w:val="00BD0389"/>
    <w:rsid w:val="00BD1B0B"/>
    <w:rsid w:val="00BD3B09"/>
    <w:rsid w:val="00BD5641"/>
    <w:rsid w:val="00BE7165"/>
    <w:rsid w:val="00BF0DFB"/>
    <w:rsid w:val="00BF4645"/>
    <w:rsid w:val="00BF5251"/>
    <w:rsid w:val="00BF5900"/>
    <w:rsid w:val="00BF5CD6"/>
    <w:rsid w:val="00C06F5B"/>
    <w:rsid w:val="00C07605"/>
    <w:rsid w:val="00C07972"/>
    <w:rsid w:val="00C07AA5"/>
    <w:rsid w:val="00C1016D"/>
    <w:rsid w:val="00C116ED"/>
    <w:rsid w:val="00C11B28"/>
    <w:rsid w:val="00C1336E"/>
    <w:rsid w:val="00C136C9"/>
    <w:rsid w:val="00C138A5"/>
    <w:rsid w:val="00C149F5"/>
    <w:rsid w:val="00C16C19"/>
    <w:rsid w:val="00C223E9"/>
    <w:rsid w:val="00C22B4E"/>
    <w:rsid w:val="00C26AAC"/>
    <w:rsid w:val="00C271E3"/>
    <w:rsid w:val="00C30066"/>
    <w:rsid w:val="00C339EA"/>
    <w:rsid w:val="00C3437D"/>
    <w:rsid w:val="00C41C65"/>
    <w:rsid w:val="00C42482"/>
    <w:rsid w:val="00C5064C"/>
    <w:rsid w:val="00C51237"/>
    <w:rsid w:val="00C523AD"/>
    <w:rsid w:val="00C52842"/>
    <w:rsid w:val="00C54080"/>
    <w:rsid w:val="00C540C5"/>
    <w:rsid w:val="00C60F0B"/>
    <w:rsid w:val="00C62440"/>
    <w:rsid w:val="00C6259E"/>
    <w:rsid w:val="00C71E11"/>
    <w:rsid w:val="00C737C2"/>
    <w:rsid w:val="00C75908"/>
    <w:rsid w:val="00C77B3D"/>
    <w:rsid w:val="00C77B4E"/>
    <w:rsid w:val="00C85D95"/>
    <w:rsid w:val="00C9379F"/>
    <w:rsid w:val="00C952A6"/>
    <w:rsid w:val="00C974BE"/>
    <w:rsid w:val="00C97BE2"/>
    <w:rsid w:val="00CA3FA1"/>
    <w:rsid w:val="00CA5967"/>
    <w:rsid w:val="00CB031B"/>
    <w:rsid w:val="00CB4965"/>
    <w:rsid w:val="00CB7890"/>
    <w:rsid w:val="00CC47BC"/>
    <w:rsid w:val="00CC57BC"/>
    <w:rsid w:val="00CD0861"/>
    <w:rsid w:val="00CD1CCC"/>
    <w:rsid w:val="00CD4D06"/>
    <w:rsid w:val="00CD67DC"/>
    <w:rsid w:val="00CD7172"/>
    <w:rsid w:val="00CD7A1C"/>
    <w:rsid w:val="00CE366F"/>
    <w:rsid w:val="00CE44D2"/>
    <w:rsid w:val="00CE679D"/>
    <w:rsid w:val="00CF2B5E"/>
    <w:rsid w:val="00CF2E47"/>
    <w:rsid w:val="00CF3A3F"/>
    <w:rsid w:val="00D007DE"/>
    <w:rsid w:val="00D00830"/>
    <w:rsid w:val="00D01D5E"/>
    <w:rsid w:val="00D03154"/>
    <w:rsid w:val="00D05470"/>
    <w:rsid w:val="00D05FCE"/>
    <w:rsid w:val="00D128DE"/>
    <w:rsid w:val="00D21F74"/>
    <w:rsid w:val="00D30587"/>
    <w:rsid w:val="00D313D0"/>
    <w:rsid w:val="00D331CF"/>
    <w:rsid w:val="00D3530B"/>
    <w:rsid w:val="00D3573D"/>
    <w:rsid w:val="00D3758E"/>
    <w:rsid w:val="00D4023E"/>
    <w:rsid w:val="00D427AB"/>
    <w:rsid w:val="00D439D9"/>
    <w:rsid w:val="00D44236"/>
    <w:rsid w:val="00D45486"/>
    <w:rsid w:val="00D467AF"/>
    <w:rsid w:val="00D46B07"/>
    <w:rsid w:val="00D52BC6"/>
    <w:rsid w:val="00D553A8"/>
    <w:rsid w:val="00D60A85"/>
    <w:rsid w:val="00D60E59"/>
    <w:rsid w:val="00D6111F"/>
    <w:rsid w:val="00D63F06"/>
    <w:rsid w:val="00D641FF"/>
    <w:rsid w:val="00D67A09"/>
    <w:rsid w:val="00D71AE8"/>
    <w:rsid w:val="00D7376C"/>
    <w:rsid w:val="00D82926"/>
    <w:rsid w:val="00D83A5E"/>
    <w:rsid w:val="00D95EB8"/>
    <w:rsid w:val="00D96208"/>
    <w:rsid w:val="00D9625E"/>
    <w:rsid w:val="00D9683F"/>
    <w:rsid w:val="00D97B79"/>
    <w:rsid w:val="00DA0139"/>
    <w:rsid w:val="00DA0317"/>
    <w:rsid w:val="00DA55A8"/>
    <w:rsid w:val="00DA5A07"/>
    <w:rsid w:val="00DA62E0"/>
    <w:rsid w:val="00DA7458"/>
    <w:rsid w:val="00DB0FE9"/>
    <w:rsid w:val="00DB17A4"/>
    <w:rsid w:val="00DB2345"/>
    <w:rsid w:val="00DB6188"/>
    <w:rsid w:val="00DB6287"/>
    <w:rsid w:val="00DB66F7"/>
    <w:rsid w:val="00DB7710"/>
    <w:rsid w:val="00DC0567"/>
    <w:rsid w:val="00DC0ECF"/>
    <w:rsid w:val="00DC2F5C"/>
    <w:rsid w:val="00DC342E"/>
    <w:rsid w:val="00DC4E2B"/>
    <w:rsid w:val="00DC637A"/>
    <w:rsid w:val="00DD0B34"/>
    <w:rsid w:val="00DD22D4"/>
    <w:rsid w:val="00DD7F79"/>
    <w:rsid w:val="00DE1128"/>
    <w:rsid w:val="00DE6E3D"/>
    <w:rsid w:val="00DE7C6E"/>
    <w:rsid w:val="00DF109A"/>
    <w:rsid w:val="00DF1D56"/>
    <w:rsid w:val="00DF1E85"/>
    <w:rsid w:val="00DF22EA"/>
    <w:rsid w:val="00DF3478"/>
    <w:rsid w:val="00DF627F"/>
    <w:rsid w:val="00E02B60"/>
    <w:rsid w:val="00E02CE2"/>
    <w:rsid w:val="00E031D5"/>
    <w:rsid w:val="00E07BE7"/>
    <w:rsid w:val="00E10E7C"/>
    <w:rsid w:val="00E1129B"/>
    <w:rsid w:val="00E1557D"/>
    <w:rsid w:val="00E1643B"/>
    <w:rsid w:val="00E218C1"/>
    <w:rsid w:val="00E2464C"/>
    <w:rsid w:val="00E27A75"/>
    <w:rsid w:val="00E3083D"/>
    <w:rsid w:val="00E30C71"/>
    <w:rsid w:val="00E36B76"/>
    <w:rsid w:val="00E37D95"/>
    <w:rsid w:val="00E4070C"/>
    <w:rsid w:val="00E468A7"/>
    <w:rsid w:val="00E47156"/>
    <w:rsid w:val="00E546DF"/>
    <w:rsid w:val="00E54E37"/>
    <w:rsid w:val="00E57452"/>
    <w:rsid w:val="00E60F00"/>
    <w:rsid w:val="00E618F8"/>
    <w:rsid w:val="00E772C2"/>
    <w:rsid w:val="00E8486D"/>
    <w:rsid w:val="00E901B6"/>
    <w:rsid w:val="00E92666"/>
    <w:rsid w:val="00E9386D"/>
    <w:rsid w:val="00EA0F0C"/>
    <w:rsid w:val="00EA3C45"/>
    <w:rsid w:val="00EA6BDF"/>
    <w:rsid w:val="00EA6F7D"/>
    <w:rsid w:val="00EB15B4"/>
    <w:rsid w:val="00EB3287"/>
    <w:rsid w:val="00EB500E"/>
    <w:rsid w:val="00EB51DD"/>
    <w:rsid w:val="00EB63AA"/>
    <w:rsid w:val="00EB7257"/>
    <w:rsid w:val="00EC1611"/>
    <w:rsid w:val="00EC177D"/>
    <w:rsid w:val="00EC1A9B"/>
    <w:rsid w:val="00EC43AE"/>
    <w:rsid w:val="00EC4F12"/>
    <w:rsid w:val="00EC58C7"/>
    <w:rsid w:val="00EC7DD7"/>
    <w:rsid w:val="00ED37F3"/>
    <w:rsid w:val="00ED6448"/>
    <w:rsid w:val="00ED72D8"/>
    <w:rsid w:val="00EE30F2"/>
    <w:rsid w:val="00EE5E9C"/>
    <w:rsid w:val="00EF009F"/>
    <w:rsid w:val="00EF1F33"/>
    <w:rsid w:val="00EF5969"/>
    <w:rsid w:val="00EF5DC2"/>
    <w:rsid w:val="00EF6424"/>
    <w:rsid w:val="00EF7414"/>
    <w:rsid w:val="00EF767D"/>
    <w:rsid w:val="00EF7DD0"/>
    <w:rsid w:val="00F01272"/>
    <w:rsid w:val="00F05F24"/>
    <w:rsid w:val="00F06509"/>
    <w:rsid w:val="00F1151C"/>
    <w:rsid w:val="00F135A2"/>
    <w:rsid w:val="00F13F23"/>
    <w:rsid w:val="00F157CE"/>
    <w:rsid w:val="00F15BF1"/>
    <w:rsid w:val="00F17074"/>
    <w:rsid w:val="00F21093"/>
    <w:rsid w:val="00F212E1"/>
    <w:rsid w:val="00F22B73"/>
    <w:rsid w:val="00F22CFC"/>
    <w:rsid w:val="00F24355"/>
    <w:rsid w:val="00F31D9C"/>
    <w:rsid w:val="00F35031"/>
    <w:rsid w:val="00F35BAE"/>
    <w:rsid w:val="00F368ED"/>
    <w:rsid w:val="00F37614"/>
    <w:rsid w:val="00F43DEB"/>
    <w:rsid w:val="00F470EC"/>
    <w:rsid w:val="00F52DA3"/>
    <w:rsid w:val="00F61D78"/>
    <w:rsid w:val="00F62B4F"/>
    <w:rsid w:val="00F645C3"/>
    <w:rsid w:val="00F677BC"/>
    <w:rsid w:val="00F73B0F"/>
    <w:rsid w:val="00F75301"/>
    <w:rsid w:val="00F75B97"/>
    <w:rsid w:val="00F8050E"/>
    <w:rsid w:val="00F8229A"/>
    <w:rsid w:val="00F82B30"/>
    <w:rsid w:val="00F8592E"/>
    <w:rsid w:val="00F92441"/>
    <w:rsid w:val="00F942F9"/>
    <w:rsid w:val="00F955C2"/>
    <w:rsid w:val="00F97C54"/>
    <w:rsid w:val="00FA02E9"/>
    <w:rsid w:val="00FA068A"/>
    <w:rsid w:val="00FA21AF"/>
    <w:rsid w:val="00FA25A6"/>
    <w:rsid w:val="00FA2903"/>
    <w:rsid w:val="00FA43DA"/>
    <w:rsid w:val="00FB1A48"/>
    <w:rsid w:val="00FB3014"/>
    <w:rsid w:val="00FB47C6"/>
    <w:rsid w:val="00FB5806"/>
    <w:rsid w:val="00FB7844"/>
    <w:rsid w:val="00FC18D3"/>
    <w:rsid w:val="00FC293E"/>
    <w:rsid w:val="00FC3799"/>
    <w:rsid w:val="00FC5BF2"/>
    <w:rsid w:val="00FC76AE"/>
    <w:rsid w:val="00FD40A3"/>
    <w:rsid w:val="00FD567A"/>
    <w:rsid w:val="00FD76DD"/>
    <w:rsid w:val="00FE3DA2"/>
    <w:rsid w:val="00FE589E"/>
    <w:rsid w:val="00FF10D8"/>
    <w:rsid w:val="00FF48B5"/>
    <w:rsid w:val="00FF6030"/>
    <w:rsid w:val="00FF6E90"/>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6D325"/>
  <w15:docId w15:val="{943C7CDD-7D99-4B6F-A430-A71DE3E4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21"/>
    <w:rPr>
      <w:sz w:val="24"/>
      <w:szCs w:val="24"/>
    </w:rPr>
  </w:style>
  <w:style w:type="paragraph" w:styleId="Heading3">
    <w:name w:val="heading 3"/>
    <w:basedOn w:val="Normal"/>
    <w:next w:val="Normal"/>
    <w:link w:val="Heading3Char"/>
    <w:semiHidden/>
    <w:unhideWhenUsed/>
    <w:qFormat/>
    <w:rsid w:val="00FC37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F20"/>
    <w:rPr>
      <w:color w:val="0000FF"/>
      <w:u w:val="single"/>
    </w:rPr>
  </w:style>
  <w:style w:type="paragraph" w:styleId="Header">
    <w:name w:val="header"/>
    <w:basedOn w:val="Normal"/>
    <w:rsid w:val="00654D11"/>
    <w:pPr>
      <w:tabs>
        <w:tab w:val="center" w:pos="4320"/>
        <w:tab w:val="right" w:pos="8640"/>
      </w:tabs>
    </w:pPr>
  </w:style>
  <w:style w:type="paragraph" w:styleId="Footer">
    <w:name w:val="footer"/>
    <w:basedOn w:val="Normal"/>
    <w:rsid w:val="00654D11"/>
    <w:pPr>
      <w:tabs>
        <w:tab w:val="center" w:pos="4320"/>
        <w:tab w:val="right" w:pos="8640"/>
      </w:tabs>
    </w:pPr>
  </w:style>
  <w:style w:type="character" w:styleId="PageNumber">
    <w:name w:val="page number"/>
    <w:basedOn w:val="DefaultParagraphFont"/>
    <w:rsid w:val="002B6005"/>
  </w:style>
  <w:style w:type="paragraph" w:styleId="BalloonText">
    <w:name w:val="Balloon Text"/>
    <w:basedOn w:val="Normal"/>
    <w:link w:val="BalloonTextChar"/>
    <w:rsid w:val="00D30587"/>
    <w:rPr>
      <w:rFonts w:ascii="Tahoma" w:hAnsi="Tahoma" w:cs="Tahoma"/>
      <w:sz w:val="16"/>
      <w:szCs w:val="16"/>
    </w:rPr>
  </w:style>
  <w:style w:type="character" w:customStyle="1" w:styleId="BalloonTextChar">
    <w:name w:val="Balloon Text Char"/>
    <w:basedOn w:val="DefaultParagraphFont"/>
    <w:link w:val="BalloonText"/>
    <w:rsid w:val="00D30587"/>
    <w:rPr>
      <w:rFonts w:ascii="Tahoma" w:hAnsi="Tahoma" w:cs="Tahoma"/>
      <w:sz w:val="16"/>
      <w:szCs w:val="16"/>
    </w:rPr>
  </w:style>
  <w:style w:type="character" w:styleId="FollowedHyperlink">
    <w:name w:val="FollowedHyperlink"/>
    <w:basedOn w:val="DefaultParagraphFont"/>
    <w:rsid w:val="006611BA"/>
    <w:rPr>
      <w:color w:val="800080"/>
      <w:u w:val="single"/>
    </w:rPr>
  </w:style>
  <w:style w:type="paragraph" w:styleId="Title">
    <w:name w:val="Title"/>
    <w:basedOn w:val="Normal"/>
    <w:next w:val="Normal"/>
    <w:link w:val="TitleChar"/>
    <w:qFormat/>
    <w:rsid w:val="00C300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300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E9386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E9386D"/>
    <w:rPr>
      <w:rFonts w:asciiTheme="majorHAnsi" w:eastAsiaTheme="majorEastAsia" w:hAnsiTheme="majorHAnsi" w:cstheme="majorBidi"/>
      <w:sz w:val="24"/>
      <w:szCs w:val="24"/>
    </w:rPr>
  </w:style>
  <w:style w:type="table" w:styleId="TableGrid">
    <w:name w:val="Table Grid"/>
    <w:basedOn w:val="TableNormal"/>
    <w:uiPriority w:val="39"/>
    <w:rsid w:val="0014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A1C"/>
    <w:pPr>
      <w:ind w:left="720"/>
      <w:contextualSpacing/>
    </w:pPr>
  </w:style>
  <w:style w:type="table" w:customStyle="1" w:styleId="TableGrid31">
    <w:name w:val="Table Grid31"/>
    <w:basedOn w:val="TableNormal"/>
    <w:rsid w:val="00997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C37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548">
      <w:bodyDiv w:val="1"/>
      <w:marLeft w:val="0"/>
      <w:marRight w:val="0"/>
      <w:marTop w:val="0"/>
      <w:marBottom w:val="0"/>
      <w:divBdr>
        <w:top w:val="none" w:sz="0" w:space="0" w:color="auto"/>
        <w:left w:val="none" w:sz="0" w:space="0" w:color="auto"/>
        <w:bottom w:val="none" w:sz="0" w:space="0" w:color="auto"/>
        <w:right w:val="none" w:sz="0" w:space="0" w:color="auto"/>
      </w:divBdr>
    </w:div>
    <w:div w:id="1768884829">
      <w:bodyDiv w:val="1"/>
      <w:marLeft w:val="0"/>
      <w:marRight w:val="0"/>
      <w:marTop w:val="0"/>
      <w:marBottom w:val="0"/>
      <w:divBdr>
        <w:top w:val="none" w:sz="0" w:space="0" w:color="auto"/>
        <w:left w:val="none" w:sz="0" w:space="0" w:color="auto"/>
        <w:bottom w:val="none" w:sz="0" w:space="0" w:color="auto"/>
        <w:right w:val="none" w:sz="0" w:space="0" w:color="auto"/>
      </w:divBdr>
    </w:div>
    <w:div w:id="20427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greenhillsheadstar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Preschool Center Based</c:v>
                </c:pt>
              </c:strCache>
            </c:strRef>
          </c:tx>
          <c:invertIfNegative val="0"/>
          <c:cat>
            <c:strRef>
              <c:f>Sheet1!$A$2</c:f>
              <c:strCache>
                <c:ptCount val="1"/>
                <c:pt idx="0">
                  <c:v>Children Served</c:v>
                </c:pt>
              </c:strCache>
            </c:strRef>
          </c:cat>
          <c:val>
            <c:numRef>
              <c:f>Sheet1!$B$2</c:f>
              <c:numCache>
                <c:formatCode>General</c:formatCode>
                <c:ptCount val="1"/>
                <c:pt idx="0">
                  <c:v>155</c:v>
                </c:pt>
              </c:numCache>
            </c:numRef>
          </c:val>
          <c:extLst>
            <c:ext xmlns:c16="http://schemas.microsoft.com/office/drawing/2014/chart" uri="{C3380CC4-5D6E-409C-BE32-E72D297353CC}">
              <c16:uniqueId val="{00000000-5889-4B9C-B382-2FA8960F9348}"/>
            </c:ext>
          </c:extLst>
        </c:ser>
        <c:ser>
          <c:idx val="1"/>
          <c:order val="1"/>
          <c:tx>
            <c:strRef>
              <c:f>Sheet1!$C$1</c:f>
              <c:strCache>
                <c:ptCount val="1"/>
                <c:pt idx="0">
                  <c:v>Preschool Home Based</c:v>
                </c:pt>
              </c:strCache>
            </c:strRef>
          </c:tx>
          <c:invertIfNegative val="0"/>
          <c:cat>
            <c:strRef>
              <c:f>Sheet1!$A$2</c:f>
              <c:strCache>
                <c:ptCount val="1"/>
                <c:pt idx="0">
                  <c:v>Children Served</c:v>
                </c:pt>
              </c:strCache>
            </c:strRef>
          </c:cat>
          <c:val>
            <c:numRef>
              <c:f>Sheet1!$C$2</c:f>
              <c:numCache>
                <c:formatCode>General</c:formatCode>
                <c:ptCount val="1"/>
                <c:pt idx="0">
                  <c:v>57</c:v>
                </c:pt>
              </c:numCache>
            </c:numRef>
          </c:val>
          <c:extLst>
            <c:ext xmlns:c16="http://schemas.microsoft.com/office/drawing/2014/chart" uri="{C3380CC4-5D6E-409C-BE32-E72D297353CC}">
              <c16:uniqueId val="{00000001-5889-4B9C-B382-2FA8960F9348}"/>
            </c:ext>
          </c:extLst>
        </c:ser>
        <c:ser>
          <c:idx val="2"/>
          <c:order val="2"/>
          <c:tx>
            <c:strRef>
              <c:f>Sheet1!$D$1</c:f>
              <c:strCache>
                <c:ptCount val="1"/>
                <c:pt idx="0">
                  <c:v>Early Head Start</c:v>
                </c:pt>
              </c:strCache>
            </c:strRef>
          </c:tx>
          <c:invertIfNegative val="0"/>
          <c:cat>
            <c:strRef>
              <c:f>Sheet1!$A$2</c:f>
              <c:strCache>
                <c:ptCount val="1"/>
                <c:pt idx="0">
                  <c:v>Children Served</c:v>
                </c:pt>
              </c:strCache>
            </c:strRef>
          </c:cat>
          <c:val>
            <c:numRef>
              <c:f>Sheet1!$D$2</c:f>
              <c:numCache>
                <c:formatCode>General</c:formatCode>
                <c:ptCount val="1"/>
                <c:pt idx="0">
                  <c:v>39</c:v>
                </c:pt>
              </c:numCache>
            </c:numRef>
          </c:val>
          <c:extLst>
            <c:ext xmlns:c16="http://schemas.microsoft.com/office/drawing/2014/chart" uri="{C3380CC4-5D6E-409C-BE32-E72D297353CC}">
              <c16:uniqueId val="{00000002-5889-4B9C-B382-2FA8960F9348}"/>
            </c:ext>
          </c:extLst>
        </c:ser>
        <c:dLbls>
          <c:showLegendKey val="0"/>
          <c:showVal val="0"/>
          <c:showCatName val="0"/>
          <c:showSerName val="0"/>
          <c:showPercent val="0"/>
          <c:showBubbleSize val="0"/>
        </c:dLbls>
        <c:gapWidth val="150"/>
        <c:axId val="127707776"/>
        <c:axId val="127721856"/>
      </c:barChart>
      <c:catAx>
        <c:axId val="127707776"/>
        <c:scaling>
          <c:orientation val="minMax"/>
        </c:scaling>
        <c:delete val="0"/>
        <c:axPos val="l"/>
        <c:numFmt formatCode="General" sourceLinked="0"/>
        <c:majorTickMark val="out"/>
        <c:minorTickMark val="none"/>
        <c:tickLblPos val="nextTo"/>
        <c:crossAx val="127721856"/>
        <c:crosses val="autoZero"/>
        <c:auto val="1"/>
        <c:lblAlgn val="ctr"/>
        <c:lblOffset val="100"/>
        <c:noMultiLvlLbl val="0"/>
      </c:catAx>
      <c:valAx>
        <c:axId val="127721856"/>
        <c:scaling>
          <c:orientation val="minMax"/>
        </c:scaling>
        <c:delete val="0"/>
        <c:axPos val="b"/>
        <c:majorGridlines/>
        <c:numFmt formatCode="General" sourceLinked="1"/>
        <c:majorTickMark val="out"/>
        <c:minorTickMark val="none"/>
        <c:tickLblPos val="nextTo"/>
        <c:crossAx val="1277077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Head Start Enrollment</a:t>
            </a:r>
          </a:p>
        </c:rich>
      </c:tx>
      <c:overlay val="0"/>
    </c:title>
    <c:autoTitleDeleted val="0"/>
    <c:plotArea>
      <c:layout/>
      <c:pieChart>
        <c:varyColors val="1"/>
        <c:ser>
          <c:idx val="0"/>
          <c:order val="0"/>
          <c:tx>
            <c:strRef>
              <c:f>Sheet1!$B$1</c:f>
              <c:strCache>
                <c:ptCount val="1"/>
                <c:pt idx="0">
                  <c:v>Enrollment</c:v>
                </c:pt>
              </c:strCache>
            </c:strRef>
          </c:tx>
          <c:cat>
            <c:strRef>
              <c:f>Sheet1!$A$2:$A$7</c:f>
              <c:strCache>
                <c:ptCount val="6"/>
                <c:pt idx="0">
                  <c:v>Low Income</c:v>
                </c:pt>
                <c:pt idx="1">
                  <c:v>Public Assistance</c:v>
                </c:pt>
                <c:pt idx="2">
                  <c:v>101-130% Poverty</c:v>
                </c:pt>
                <c:pt idx="3">
                  <c:v>Foster</c:v>
                </c:pt>
                <c:pt idx="4">
                  <c:v>Homeless</c:v>
                </c:pt>
                <c:pt idx="5">
                  <c:v>Over Income</c:v>
                </c:pt>
              </c:strCache>
            </c:strRef>
          </c:cat>
          <c:val>
            <c:numRef>
              <c:f>Sheet1!$B$2:$B$7</c:f>
              <c:numCache>
                <c:formatCode>General</c:formatCode>
                <c:ptCount val="6"/>
                <c:pt idx="0">
                  <c:v>67</c:v>
                </c:pt>
                <c:pt idx="1">
                  <c:v>8</c:v>
                </c:pt>
                <c:pt idx="2">
                  <c:v>12</c:v>
                </c:pt>
                <c:pt idx="3">
                  <c:v>8</c:v>
                </c:pt>
                <c:pt idx="4">
                  <c:v>1</c:v>
                </c:pt>
                <c:pt idx="5">
                  <c:v>4</c:v>
                </c:pt>
              </c:numCache>
            </c:numRef>
          </c:val>
          <c:extLst>
            <c:ext xmlns:c16="http://schemas.microsoft.com/office/drawing/2014/chart" uri="{C3380CC4-5D6E-409C-BE32-E72D297353CC}">
              <c16:uniqueId val="{00000000-6B3D-48CA-91BD-67559F585D4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en-US"/>
              <a:t>Early Head Start Enrollment</a:t>
            </a:r>
          </a:p>
        </c:rich>
      </c:tx>
      <c:overlay val="0"/>
    </c:title>
    <c:autoTitleDeleted val="0"/>
    <c:plotArea>
      <c:layout/>
      <c:pieChart>
        <c:varyColors val="1"/>
        <c:ser>
          <c:idx val="0"/>
          <c:order val="0"/>
          <c:tx>
            <c:strRef>
              <c:f>Sheet1!$B$1</c:f>
              <c:strCache>
                <c:ptCount val="1"/>
                <c:pt idx="0">
                  <c:v>Enrollment</c:v>
                </c:pt>
              </c:strCache>
            </c:strRef>
          </c:tx>
          <c:cat>
            <c:strRef>
              <c:f>Sheet1!$A$2:$A$7</c:f>
              <c:strCache>
                <c:ptCount val="6"/>
                <c:pt idx="0">
                  <c:v>Low Income</c:v>
                </c:pt>
                <c:pt idx="1">
                  <c:v>Public Assistance</c:v>
                </c:pt>
                <c:pt idx="2">
                  <c:v>101-130% Poverty</c:v>
                </c:pt>
                <c:pt idx="3">
                  <c:v>Foster</c:v>
                </c:pt>
                <c:pt idx="4">
                  <c:v>Homeless</c:v>
                </c:pt>
                <c:pt idx="5">
                  <c:v>Over Income</c:v>
                </c:pt>
              </c:strCache>
            </c:strRef>
          </c:cat>
          <c:val>
            <c:numRef>
              <c:f>Sheet1!$B$2:$B$7</c:f>
              <c:numCache>
                <c:formatCode>General</c:formatCode>
                <c:ptCount val="6"/>
                <c:pt idx="0">
                  <c:v>72</c:v>
                </c:pt>
                <c:pt idx="1">
                  <c:v>4</c:v>
                </c:pt>
                <c:pt idx="2">
                  <c:v>9</c:v>
                </c:pt>
                <c:pt idx="3">
                  <c:v>11</c:v>
                </c:pt>
                <c:pt idx="4">
                  <c:v>4</c:v>
                </c:pt>
                <c:pt idx="5">
                  <c:v>0</c:v>
                </c:pt>
              </c:numCache>
            </c:numRef>
          </c:val>
          <c:extLst>
            <c:ext xmlns:c16="http://schemas.microsoft.com/office/drawing/2014/chart" uri="{C3380CC4-5D6E-409C-BE32-E72D297353CC}">
              <c16:uniqueId val="{00000000-5FDB-4225-AA2D-AF39BC2A792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Education level of Parent/Guardian</c:v>
                </c:pt>
              </c:strCache>
            </c:strRef>
          </c:tx>
          <c:cat>
            <c:strRef>
              <c:f>Sheet1!$A$2:$A$5</c:f>
              <c:strCache>
                <c:ptCount val="4"/>
                <c:pt idx="0">
                  <c:v>Advanced Degree</c:v>
                </c:pt>
                <c:pt idx="1">
                  <c:v>AA Degree</c:v>
                </c:pt>
                <c:pt idx="2">
                  <c:v>HSG/GED</c:v>
                </c:pt>
                <c:pt idx="3">
                  <c:v>Less than HSG/GED</c:v>
                </c:pt>
              </c:strCache>
            </c:strRef>
          </c:cat>
          <c:val>
            <c:numRef>
              <c:f>Sheet1!$B$2:$B$5</c:f>
              <c:numCache>
                <c:formatCode>General</c:formatCode>
                <c:ptCount val="4"/>
                <c:pt idx="0">
                  <c:v>17</c:v>
                </c:pt>
                <c:pt idx="1">
                  <c:v>79</c:v>
                </c:pt>
                <c:pt idx="2">
                  <c:v>126</c:v>
                </c:pt>
                <c:pt idx="3">
                  <c:v>19</c:v>
                </c:pt>
              </c:numCache>
            </c:numRef>
          </c:val>
          <c:extLst>
            <c:ext xmlns:c16="http://schemas.microsoft.com/office/drawing/2014/chart" uri="{C3380CC4-5D6E-409C-BE32-E72D297353CC}">
              <c16:uniqueId val="{00000000-573E-429A-8D36-D68DF540541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67FBFB068DE42A4496C7CE67C64E2" ma:contentTypeVersion="14" ma:contentTypeDescription="Create a new document." ma:contentTypeScope="" ma:versionID="46df5ce25488ea1d7df58a8e93779258">
  <xsd:schema xmlns:xsd="http://www.w3.org/2001/XMLSchema" xmlns:xs="http://www.w3.org/2001/XMLSchema" xmlns:p="http://schemas.microsoft.com/office/2006/metadata/properties" xmlns:ns3="81ddcbc1-624e-4bee-9f9d-ccd5288d72ea" xmlns:ns4="9a7f30e5-e47f-40dd-9060-682851b75f2f" targetNamespace="http://schemas.microsoft.com/office/2006/metadata/properties" ma:root="true" ma:fieldsID="b69466d103ab78a260a3736db4a4d8bd" ns3:_="" ns4:_="">
    <xsd:import namespace="81ddcbc1-624e-4bee-9f9d-ccd5288d72ea"/>
    <xsd:import namespace="9a7f30e5-e47f-40dd-9060-682851b75f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dcbc1-624e-4bee-9f9d-ccd5288d7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f30e5-e47f-40dd-9060-682851b75f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4710C-B656-47CA-95FE-BC5616B6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dcbc1-624e-4bee-9f9d-ccd5288d72ea"/>
    <ds:schemaRef ds:uri="9a7f30e5-e47f-40dd-9060-682851b75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5022E-203B-44CD-A35B-7693BA0AC948}">
  <ds:schemaRefs>
    <ds:schemaRef ds:uri="http://schemas.openxmlformats.org/officeDocument/2006/bibliography"/>
  </ds:schemaRefs>
</ds:datastoreItem>
</file>

<file path=customXml/itemProps3.xml><?xml version="1.0" encoding="utf-8"?>
<ds:datastoreItem xmlns:ds="http://schemas.openxmlformats.org/officeDocument/2006/customXml" ds:itemID="{B89860B9-C2E5-44FF-8502-14450C6F7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D0085-FC08-482B-AF80-56DCBCC5B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Program:</vt:lpstr>
    </vt:vector>
  </TitlesOfParts>
  <Company>Green Hills Head Start</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BHooker</dc:creator>
  <cp:lastModifiedBy>Ewigman, Sue</cp:lastModifiedBy>
  <cp:revision>2</cp:revision>
  <cp:lastPrinted>2021-08-13T17:26:00Z</cp:lastPrinted>
  <dcterms:created xsi:type="dcterms:W3CDTF">2023-02-08T20:25:00Z</dcterms:created>
  <dcterms:modified xsi:type="dcterms:W3CDTF">2023-02-08T20:25:00Z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0x01010059C67FBFB068DE42A4496C7CE67C64E2</vt:lpwstr>
  </property>
</Properties>
</file>